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w:rPr>
          <w:highlight w:val="none"/>
        </w:rPr>
      </w:r>
      <w:r>
        <w:rPr>
          <w:rFonts w:ascii="Times New Roman" w:hAnsi="Times New Roman" w:cs="Times New Roman"/>
          <w:b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472690" cy="747395"/>
                <wp:effectExtent l="0" t="0" r="0" b="0"/>
                <wp:docPr id="1" name="Рисунок 1" descr="Логотип Росреестра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79730303" name="Рисунок 1" descr="Логотип Росреестра.jpg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 rot="0" flipH="0" flipV="0">
                          <a:off x="0" y="0"/>
                          <a:ext cx="2472689" cy="7473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94.70pt;height:58.85pt;mso-wrap-distance-left:0.00pt;mso-wrap-distance-top:0.00pt;mso-wrap-distance-right:0.00pt;mso-wrap-distance-bottom:0.00pt;rotation:0;" stroked="false">
                <v:path textboxrect="0,0,0,0"/>
                <v:imagedata r:id="rId9" o:title=""/>
              </v:shape>
            </w:pict>
          </mc:Fallback>
        </mc:AlternateContent>
      </w:r>
      <w:r/>
      <w:r>
        <w:rPr>
          <w:highlight w:val="none"/>
        </w:rPr>
      </w:r>
      <w:r>
        <w:rPr>
          <w:highlight w:val="none"/>
        </w:rPr>
      </w:r>
    </w:p>
    <w:p>
      <w:pPr>
        <w:rPr>
          <w:rFonts w:ascii="Tinos" w:hAnsi="Tinos" w:cs="Tinos"/>
          <w:sz w:val="28"/>
          <w:szCs w:val="28"/>
        </w:rPr>
      </w:pP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jc w:val="center"/>
        <w:rPr>
          <w:rFonts w:ascii="Tinos" w:hAnsi="Tinos" w:cs="Tinos"/>
          <w:b/>
          <w:bCs/>
          <w:sz w:val="28"/>
          <w:szCs w:val="28"/>
        </w:rPr>
      </w:pPr>
      <w:r>
        <w:rPr>
          <w:rFonts w:ascii="Tinos" w:hAnsi="Tinos" w:eastAsia="Tinos" w:cs="Tinos"/>
          <w:sz w:val="28"/>
          <w:szCs w:val="28"/>
          <w:highlight w:val="none"/>
        </w:rPr>
        <w:t xml:space="preserve">     </w:t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  <w:t xml:space="preserve">И еще раз о видах разрешенного использования.</w:t>
      </w:r>
      <w:r>
        <w:rPr>
          <w:rFonts w:ascii="Tinos" w:hAnsi="Tinos" w:cs="Tinos"/>
          <w:b/>
          <w:bCs/>
          <w:sz w:val="28"/>
          <w:szCs w:val="28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jc w:val="both"/>
        <w:spacing w:line="240" w:lineRule="auto"/>
        <w:rPr>
          <w:rFonts w:ascii="Tinos" w:hAnsi="Tinos" w:cs="Tinos"/>
          <w:sz w:val="28"/>
          <w:szCs w:val="28"/>
          <w:highlight w:val="none"/>
        </w:rPr>
      </w:pPr>
      <w:r>
        <w:t xml:space="preserve">         </w:t>
      </w:r>
      <w:r>
        <w:rPr>
          <w:rFonts w:ascii="Tinos" w:hAnsi="Tinos" w:eastAsia="Tinos" w:cs="Tinos"/>
          <w:sz w:val="28"/>
          <w:szCs w:val="28"/>
        </w:rPr>
        <w:t xml:space="preserve"> Напоминаем, что с 1 марта 2026 года вступил в силу Федеральный закон от 31.07.2025 № 295-ФЗ, который  установил порядок определения и изменения видов разрешенного использования (ВРИ) земельных участков.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jc w:val="both"/>
        <w:spacing w:line="240" w:lineRule="auto"/>
        <w:rPr>
          <w:rFonts w:ascii="Tinos" w:hAnsi="Tinos" w:cs="Tinos"/>
          <w:b/>
          <w:bCs/>
          <w:color w:val="000000" w:themeColor="text1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          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</w:rPr>
        <w:t xml:space="preserve">Что меняется для правообладателей земельных участков: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</w:rPr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</w:rPr>
      </w:r>
    </w:p>
    <w:p>
      <w:pPr>
        <w:contextualSpacing/>
        <w:ind w:left="0" w:firstLine="0"/>
        <w:jc w:val="both"/>
        <w:spacing w:line="240" w:lineRule="auto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          Во-первых, собственники участков могут самостоятельно выбирать основные и вспомогательные виды разрешенного использования без дополнительных разрешений и согласований. При этом вспомогательные виды могут устанавливаться только вместе с основным.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contextualSpacing/>
        <w:jc w:val="both"/>
        <w:spacing w:line="240" w:lineRule="auto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          Во-вторых, арендаторы и пользователи участков, находящихся в государственной или муниципальной собственности, лишаются права изменять вид разрешенного использования самостоятельно. Такое решение остается за собственником, которым является публично-правовое </w:t>
      </w:r>
      <w:r>
        <w:rPr>
          <w:rFonts w:ascii="Tinos" w:hAnsi="Tinos" w:eastAsia="Tinos" w:cs="Tinos"/>
          <w:sz w:val="28"/>
          <w:szCs w:val="28"/>
        </w:rPr>
        <w:t xml:space="preserve">образование.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contextualSpacing/>
        <w:jc w:val="both"/>
        <w:spacing w:line="240" w:lineRule="auto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          В-третьих, для участков из состава земель сельскохозяйственного назначения, относящихся к сельскохозяйственным угодьям, изменение ВРИ возможно только на основании решения органа власти субъекта РФ. </w:t>
      </w:r>
      <w:r>
        <w:rPr>
          <w:rFonts w:ascii="Tinos" w:hAnsi="Tinos" w:eastAsia="Tinos" w:cs="Tinos"/>
          <w:sz w:val="28"/>
          <w:szCs w:val="28"/>
        </w:rPr>
      </w:r>
    </w:p>
    <w:p>
      <w:pPr>
        <w:contextualSpacing/>
        <w:jc w:val="both"/>
        <w:spacing w:line="240" w:lineRule="auto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          В-четвертых, закон впервые допускает объединение или перераспределение участков с разными видами разрешенного использования. При разделе или перераспределении участков, чей ВРИ не соответствует регламенту, разрешенное использование вновь образованных участк</w:t>
      </w:r>
      <w:r>
        <w:rPr>
          <w:rFonts w:ascii="Tinos" w:hAnsi="Tinos" w:eastAsia="Tinos" w:cs="Tinos"/>
          <w:sz w:val="28"/>
          <w:szCs w:val="28"/>
        </w:rPr>
        <w:t xml:space="preserve">ов можно выбрать: либо как у исходного, либо в соответствии с регламентом.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jc w:val="both"/>
        <w:spacing w:line="240" w:lineRule="auto"/>
        <w:rPr>
          <w:rFonts w:ascii="Tinos" w:hAnsi="Tinos" w:eastAsia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sz w:val="28"/>
          <w:szCs w:val="28"/>
        </w:rPr>
        <w:t xml:space="preserve">          Также следует отметить, что виды разрешенного использования земельных участков, установленные до 01.03.2026, остаются действительными. Менять их не обязательно - это право, а не обязанность правообладателя.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jc w:val="both"/>
        <w:spacing w:line="240" w:lineRule="auto"/>
        <w:rPr>
          <w:rFonts w:ascii="Tinos" w:hAnsi="Tinos" w:cs="Tinos"/>
          <w:sz w:val="28"/>
          <w:szCs w:val="28"/>
        </w:rPr>
      </w:pP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contextualSpacing/>
        <w:jc w:val="both"/>
        <w:spacing w:line="240" w:lineRule="auto"/>
        <w:rPr>
          <w:rFonts w:ascii="Tinos" w:hAnsi="Tinos" w:eastAsia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sz w:val="28"/>
          <w:szCs w:val="28"/>
          <w:highlight w:val="none"/>
        </w:rPr>
        <w:t xml:space="preserve">Подготовила ведущий специалист-эксперт</w:t>
      </w:r>
      <w:r>
        <w:rPr>
          <w:rFonts w:ascii="Tinos" w:hAnsi="Tinos" w:eastAsia="Tinos" w:cs="Tinos"/>
          <w:sz w:val="28"/>
          <w:szCs w:val="28"/>
          <w:highlight w:val="none"/>
        </w:rPr>
      </w:r>
    </w:p>
    <w:p>
      <w:pPr>
        <w:contextualSpacing/>
        <w:jc w:val="both"/>
        <w:spacing w:line="240" w:lineRule="auto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  <w:highlight w:val="none"/>
        </w:rPr>
        <w:t xml:space="preserve">Тальменского отдела Кузнецова Елена</w:t>
      </w:r>
      <w:r>
        <w:rPr>
          <w:rFonts w:ascii="Tinos" w:hAnsi="Tinos" w:eastAsia="Tinos" w:cs="Tinos"/>
          <w:sz w:val="28"/>
          <w:szCs w:val="28"/>
          <w:highlight w:val="none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Times New Roman">
    <w:panose1 w:val="02020603050405020304"/>
  </w:font>
  <w:font w:name="Symbol">
    <w:panose1 w:val="05010000000000000000"/>
  </w:font>
  <w:font w:name="Courier New">
    <w:panose1 w:val="02070409020205020404"/>
  </w:font>
  <w:font w:name="Wingdings">
    <w:panose1 w:val="05010000000000000000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>
    <w:name w:val="No Spacing"/>
    <w:basedOn w:val="618"/>
    <w:uiPriority w:val="1"/>
    <w:qFormat/>
    <w:pPr>
      <w:spacing w:after="0" w:line="240" w:lineRule="auto"/>
    </w:pPr>
  </w:style>
  <w:style w:type="paragraph" w:styleId="622">
    <w:name w:val="List Paragraph"/>
    <w:basedOn w:val="618"/>
    <w:uiPriority w:val="34"/>
    <w:qFormat/>
    <w:pPr>
      <w:contextualSpacing/>
      <w:ind w:left="720"/>
    </w:pPr>
  </w:style>
  <w:style w:type="character" w:styleId="62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r22kev15051979</cp:lastModifiedBy>
  <cp:revision>1</cp:revision>
  <dcterms:modified xsi:type="dcterms:W3CDTF">2026-06-18T02:07:46Z</dcterms:modified>
</cp:coreProperties>
</file>