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/>
        <w:drawing>
          <wp:inline distT="0" distB="0" distL="0" distR="0">
            <wp:extent cx="2472690" cy="747395"/>
            <wp:effectExtent l="0" t="0" r="0" b="0"/>
            <wp:docPr id="1" name="Рисунок 1" descr="Логотип Росреес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Логотип Росреестр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Spacing"/>
        <w:jc w:val="both"/>
        <w:rPr/>
      </w:pPr>
      <w:r>
        <w:rPr>
          <w:rFonts w:eastAsia="Times New Roman" w:cs="Times New Roman" w:ascii="Times New Roman" w:hAnsi="Times New Roman"/>
          <w:b/>
          <w:color w:val="3D4146"/>
          <w:sz w:val="32"/>
          <w:szCs w:val="32"/>
        </w:rPr>
        <w:t>В каких случаях вносятся сведения о видах разрешенного использования земельного участка  в Единый государственный реестр недвижимости?</w:t>
      </w:r>
    </w:p>
    <w:p>
      <w:pPr>
        <w:pStyle w:val="Normal"/>
        <w:spacing w:before="0" w:after="0"/>
        <w:ind w:hanging="0" w:left="0" w:right="0"/>
        <w:rPr>
          <w:rFonts w:ascii="Roboto" w:hAnsi="Roboto" w:eastAsia="Roboto" w:cs="Roboto"/>
          <w:sz w:val="24"/>
          <w:szCs w:val="24"/>
        </w:rPr>
      </w:pPr>
      <w:r>
        <w:rPr>
          <w:rFonts w:eastAsia="Roboto" w:cs="Roboto" w:ascii="Roboto" w:hAnsi="Roboto"/>
          <w:sz w:val="24"/>
          <w:szCs w:val="24"/>
        </w:rPr>
      </w:r>
    </w:p>
    <w:p>
      <w:pPr>
        <w:pStyle w:val="Normal"/>
        <w:spacing w:before="0" w:after="0"/>
        <w:ind w:hanging="0" w:left="0" w:right="0"/>
        <w:rPr>
          <w:rFonts w:ascii="Roboto" w:hAnsi="Roboto" w:eastAsia="Roboto" w:cs="Roboto"/>
          <w:color w:val="292C2F"/>
          <w:sz w:val="24"/>
          <w:szCs w:val="24"/>
          <w:highlight w:val="none"/>
        </w:rPr>
      </w:pPr>
      <w:r>
        <w:rPr>
          <w:rFonts w:eastAsia="Roboto" w:cs="Roboto" w:ascii="Roboto" w:hAnsi="Roboto"/>
          <w:color w:val="292C2F"/>
          <w:sz w:val="24"/>
          <w:szCs w:val="24"/>
        </w:rPr>
      </w:r>
    </w:p>
    <w:p>
      <w:pPr>
        <w:pStyle w:val="Normal"/>
        <w:spacing w:before="0" w:after="0"/>
        <w:ind w:hanging="0" w:left="0" w:right="0"/>
        <w:rPr>
          <w:rFonts w:ascii="Roboto" w:hAnsi="Roboto" w:eastAsia="Roboto" w:cs="Roboto"/>
          <w:color w:val="292C2F"/>
          <w:sz w:val="24"/>
          <w:szCs w:val="24"/>
          <w:highlight w:val="none"/>
        </w:rPr>
      </w:pPr>
      <w:r>
        <w:rPr>
          <w:rFonts w:eastAsia="Roboto" w:cs="Roboto" w:ascii="Roboto" w:hAnsi="Roboto"/>
          <w:color w:val="292C2F"/>
          <w:sz w:val="24"/>
          <w:szCs w:val="24"/>
        </w:rPr>
      </w:r>
    </w:p>
    <w:p>
      <w:pPr>
        <w:pStyle w:val="Normal"/>
        <w:spacing w:before="0" w:after="0"/>
        <w:ind w:hanging="0" w:left="0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color w:val="292C2F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292C2F"/>
          <w:sz w:val="28"/>
          <w:szCs w:val="28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292C2F"/>
          <w:sz w:val="28"/>
          <w:szCs w:val="28"/>
        </w:rPr>
        <w:t>Особенности наполнения ЕГРН сведениями о видах разрешенного использования земельных участков  предусмотрены ст.60.3, ч.ч 11,12 ст.69 Закона №218-ФЗ« О государственной регистрации недвижимости», в частности:</w:t>
      </w:r>
    </w:p>
    <w:p>
      <w:pPr>
        <w:pStyle w:val="Normal"/>
        <w:spacing w:before="0" w:after="0"/>
        <w:ind w:hanging="0" w:left="0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color w:val="292C2F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292C2F"/>
          <w:sz w:val="28"/>
          <w:szCs w:val="28"/>
        </w:rPr>
        <w:t>- при поступлении заявления о внесении в ЕГРН сведений о выбранных виде или видах разрешенного использования (далее ВРИ);</w:t>
      </w:r>
    </w:p>
    <w:p>
      <w:pPr>
        <w:pStyle w:val="Normal"/>
        <w:spacing w:before="0" w:after="0"/>
        <w:ind w:hanging="0" w:left="0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color w:val="292C2F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292C2F"/>
          <w:sz w:val="28"/>
          <w:szCs w:val="28"/>
        </w:rPr>
        <w:t>-одновременно с государственным кадастровым учетом или единой процедурой в отношении образуемого земельного участка;</w:t>
      </w:r>
    </w:p>
    <w:p>
      <w:pPr>
        <w:pStyle w:val="Normal"/>
        <w:spacing w:before="0" w:after="0"/>
        <w:ind w:hanging="0" w:left="0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color w:val="292C2F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292C2F"/>
          <w:sz w:val="28"/>
          <w:szCs w:val="28"/>
        </w:rPr>
        <w:t>- одновременно с государственной  регистрацией права (ограничения права) на земельный участок, находящийся в государственной или муниципальной собственности, на основании акта уполномоченного органа о предоставлении земельного участка;</w:t>
      </w:r>
    </w:p>
    <w:p>
      <w:pPr>
        <w:pStyle w:val="Normal"/>
        <w:spacing w:before="0" w:after="0"/>
        <w:ind w:hanging="0" w:left="0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color w:val="292C2F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292C2F"/>
          <w:sz w:val="28"/>
          <w:szCs w:val="28"/>
        </w:rPr>
        <w:t>- при внесении в ЕГРН сведений о ранее учтенном земельном участке.</w:t>
      </w:r>
    </w:p>
    <w:p>
      <w:pPr>
        <w:pStyle w:val="Normal"/>
        <w:spacing w:before="0" w:after="0"/>
        <w:ind w:hanging="0" w:left="0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color w:val="292C2F"/>
          <w:sz w:val="28"/>
          <w:szCs w:val="28"/>
          <w:highlight w:val="none"/>
        </w:rPr>
      </w:pPr>
      <w:r>
        <w:rPr>
          <w:rFonts w:cs="Times New Roman" w:ascii="Times New Roman" w:hAnsi="Times New Roman"/>
          <w:b w:val="false"/>
          <w:bCs w:val="false"/>
          <w:i w:val="false"/>
          <w:color w:val="292C2F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Начальник Тальменского отдела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Управления Росреестра по Алтайскому краю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И.С. Хохлова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Roboto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" w:cs="Arial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200" w:after="0"/>
      <w:outlineLvl w:val="1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uiPriority w:val="9"/>
    <w:qFormat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uiPriority w:val="9"/>
    <w:qFormat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Kbsep" w:customStyle="1">
    <w:name w:val="kb_sep"/>
    <w:basedOn w:val="DefaultParagraphFont"/>
    <w:qFormat/>
    <w:rPr/>
  </w:style>
  <w:style w:type="character" w:styleId="Kbtitle" w:customStyle="1">
    <w:name w:val="kb_title"/>
    <w:basedOn w:val="DefaultParagraphFont"/>
    <w:qFormat/>
    <w:rPr/>
  </w:style>
  <w:style w:type="character" w:styleId="Blk" w:customStyle="1">
    <w:name w:val="blk"/>
    <w:basedOn w:val="DefaultParagraphFont"/>
    <w:qFormat/>
    <w:rPr/>
  </w:style>
  <w:style w:type="character" w:styleId="Hl" w:customStyle="1">
    <w:name w:val="hl"/>
    <w:basedOn w:val="DefaultParagraphFont"/>
    <w:qFormat/>
    <w:rPr/>
  </w:style>
  <w:style w:type="character" w:styleId="Nobr" w:customStyle="1">
    <w:name w:val="nobr"/>
    <w:basedOn w:val="DefaultParagraphFont"/>
    <w:qFormat/>
    <w:rPr/>
  </w:style>
  <w:style w:type="character" w:styleId="2" w:customStyle="1">
    <w:name w:val="Заголовок 2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10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Article-renderblock" w:customStyle="1">
    <w:name w:val="article-render__block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="0" w:after="96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Style81" w:customStyle="1">
    <w:name w:val="Style8"/>
    <w:basedOn w:val="Normal"/>
    <w:qFormat/>
    <w:pPr>
      <w:widowControl w:val="false"/>
      <w:spacing w:lineRule="exact" w:line="324" w:before="0" w:after="0"/>
      <w:ind w:firstLine="696"/>
      <w:jc w:val="both"/>
    </w:pPr>
    <w:rPr>
      <w:rFonts w:ascii="Calibri" w:hAnsi="Calibri" w:eastAsia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0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655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58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60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60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LibreOffice/7.6.7.2$Linux_X86_64 LibreOffice_project/60$Build-2</Application>
  <AppVersion>15.0000</AppVersion>
  <Pages>1</Pages>
  <Words>117</Words>
  <Characters>848</Characters>
  <CharactersWithSpaces>1141</CharactersWithSpaces>
  <Paragraphs>10</Paragraphs>
  <Company>Kraftway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2024-10-04T02:32:00Z</dcterms:created>
  <dc:creator>R22KIE01061987</dc:creator>
  <dc:description/>
  <dc:language>ru-RU</dc:language>
  <cp:lastModifiedBy/>
  <dcterms:modified xsi:type="dcterms:W3CDTF">2026-07-09T09:51:22Z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