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3"/>
      </w:pPr>
      <w:r>
        <w:rPr>
          <w:rFonts w:eastAsia="Calibri"/>
          <w:b/>
          <w:bCs/>
          <w:szCs w:val="28"/>
        </w:rP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2426288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  <w:r/>
      <w:r/>
    </w:p>
    <w:p>
      <w:pPr>
        <w:pStyle w:val="1_633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pStyle w:val="1_633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14.01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.2026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ind w:left="10" w:right="10" w:firstLine="701"/>
        <w:jc w:val="both"/>
        <w:spacing w:line="317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rFonts w:eastAsia="Times New Roman"/>
          <w:spacing w:val="-6"/>
          <w:sz w:val="30"/>
          <w:szCs w:val="30"/>
        </w:rPr>
      </w:r>
    </w:p>
    <w:p>
      <w:pPr>
        <w:ind w:left="10" w:right="10" w:firstLine="701"/>
        <w:jc w:val="both"/>
        <w:spacing w:line="317" w:lineRule="exact"/>
        <w:shd w:val="clear" w:color="auto" w:fill="ffffff"/>
        <w:rPr>
          <w:rFonts w:eastAsia="Times New Roman"/>
          <w:spacing w:val="-6"/>
          <w:sz w:val="30"/>
          <w:szCs w:val="30"/>
        </w:rPr>
      </w:pPr>
      <w:r>
        <w:rPr>
          <w:rFonts w:eastAsia="Times New Roman"/>
          <w:b/>
          <w:sz w:val="28"/>
          <w:szCs w:val="28"/>
          <w:highlight w:val="none"/>
        </w:rPr>
      </w:r>
      <w:r>
        <w:rPr>
          <w:rFonts w:eastAsia="Times New Roman"/>
          <w:b/>
          <w:sz w:val="28"/>
          <w:szCs w:val="28"/>
          <w:highlight w:val="none"/>
        </w:rPr>
      </w:r>
    </w:p>
    <w:p>
      <w:pPr>
        <w:ind w:left="10" w:right="10" w:firstLine="0"/>
        <w:jc w:val="both"/>
        <w:spacing w:line="317" w:lineRule="exact"/>
        <w:shd w:val="clear" w:color="auto" w:fill="ffffff"/>
        <w:rPr>
          <w:rFonts w:eastAsia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  <w:t xml:space="preserve">Наиболее характерные основания для приостановления учетно-регистрационных действий</w:t>
      </w:r>
      <w:r>
        <w:rPr>
          <w:rFonts w:eastAsia="Times New Roman"/>
          <w:spacing w:val="-6"/>
          <w:sz w:val="30"/>
          <w:szCs w:val="30"/>
        </w:rPr>
      </w:r>
      <w:r/>
    </w:p>
    <w:p>
      <w:pPr>
        <w:widowControl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contextualSpacing/>
        <w:ind w:firstLine="708"/>
        <w:jc w:val="both"/>
        <w:widowControl/>
        <w:rPr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 xml:space="preserve">результате</w:t>
      </w:r>
      <w:r>
        <w:rPr>
          <w:rFonts w:eastAsia="Times New Roman"/>
          <w:sz w:val="28"/>
          <w:szCs w:val="28"/>
        </w:rPr>
        <w:t xml:space="preserve"> анализа решений о приостановлении учетно-регистрационных действий за второе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полугодие 20</w:t>
      </w:r>
      <w:r>
        <w:rPr>
          <w:rFonts w:eastAsia="Times New Roman"/>
          <w:sz w:val="28"/>
          <w:szCs w:val="28"/>
        </w:rPr>
        <w:t xml:space="preserve">2</w:t>
      </w:r>
      <w:r>
        <w:rPr>
          <w:rFonts w:eastAsia="Times New Roman"/>
          <w:sz w:val="28"/>
          <w:szCs w:val="28"/>
        </w:rPr>
        <w:t xml:space="preserve">5 года</w:t>
      </w:r>
      <w:r>
        <w:rPr>
          <w:rFonts w:eastAsia="Times New Roman"/>
          <w:sz w:val="28"/>
          <w:szCs w:val="28"/>
        </w:rPr>
        <w:t xml:space="preserve"> установлено,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иболее распространенны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основани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приостановления государственной регистрации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явля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ется</w:t>
      </w:r>
      <w:r>
        <w:rPr>
          <w:rFonts w:eastAsia="Times New Roman"/>
          <w:sz w:val="28"/>
          <w:szCs w:val="28"/>
        </w:rPr>
        <w:t xml:space="preserve"> наличие </w:t>
      </w:r>
      <w:r>
        <w:rPr>
          <w:rFonts w:eastAsia="Times New Roman"/>
          <w:sz w:val="28"/>
          <w:szCs w:val="28"/>
        </w:rPr>
        <w:t xml:space="preserve">в сведениях </w:t>
      </w:r>
      <w:r>
        <w:rPr>
          <w:sz w:val="28"/>
          <w:szCs w:val="28"/>
        </w:rPr>
        <w:t xml:space="preserve">Един</w:t>
      </w:r>
      <w:r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государственн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реестр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недвижимости (</w:t>
      </w:r>
      <w:r>
        <w:rPr>
          <w:rFonts w:eastAsia="Times New Roman"/>
          <w:sz w:val="28"/>
          <w:szCs w:val="28"/>
        </w:rPr>
        <w:t xml:space="preserve">далее – </w:t>
      </w:r>
      <w:r>
        <w:rPr>
          <w:sz w:val="28"/>
          <w:szCs w:val="28"/>
        </w:rPr>
        <w:t xml:space="preserve">ЕГРН)</w:t>
      </w:r>
      <w:r>
        <w:rPr>
          <w:rFonts w:eastAsia="Times New Roman"/>
          <w:sz w:val="28"/>
          <w:szCs w:val="28"/>
        </w:rPr>
        <w:t xml:space="preserve"> записи об ограничении (обременении) в виде ареста или запрета </w:t>
      </w:r>
      <w:r>
        <w:rPr>
          <w:rFonts w:eastAsia="Times New Roman"/>
          <w:sz w:val="28"/>
          <w:szCs w:val="28"/>
        </w:rPr>
        <w:t xml:space="preserve">совершать определенные действия с недвижимым имуществом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ладелец недвижимости перед сдачей документов на государственную регистрацию может узнать информацию о принадлежащем ему </w:t>
      </w:r>
      <w:r>
        <w:rPr>
          <w:bCs/>
          <w:sz w:val="28"/>
          <w:szCs w:val="28"/>
        </w:rPr>
        <w:t xml:space="preserve">объекте</w:t>
      </w:r>
      <w:r>
        <w:rPr>
          <w:bCs/>
          <w:sz w:val="28"/>
          <w:szCs w:val="28"/>
        </w:rPr>
        <w:t xml:space="preserve"> недвижимости</w:t>
      </w:r>
      <w:r>
        <w:rPr>
          <w:bCs/>
          <w:sz w:val="28"/>
          <w:szCs w:val="28"/>
        </w:rPr>
        <w:t xml:space="preserve">, в том числе имеющихся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ограничениях (обременениях), </w:t>
      </w:r>
      <w:r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помощью сервиса </w:t>
      </w:r>
      <w:r>
        <w:rPr>
          <w:bCs/>
          <w:sz w:val="28"/>
          <w:szCs w:val="28"/>
        </w:rPr>
        <w:t xml:space="preserve">Росреестра</w:t>
      </w:r>
      <w:r>
        <w:rPr>
          <w:bCs/>
          <w:sz w:val="28"/>
          <w:szCs w:val="28"/>
        </w:rPr>
        <w:t xml:space="preserve"> «Личный кабинет правообладателя», который размещен на главной странице сайта ведомства.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Получить справочную информацию из ЕГРН об объектах недвижимости можно также с помощью бесплатного сервиса «Справочная информация по объектам недвижимости в режиме </w:t>
      </w:r>
      <w:r>
        <w:rPr>
          <w:bCs/>
          <w:sz w:val="28"/>
          <w:szCs w:val="28"/>
          <w:lang w:val="en-US"/>
        </w:rPr>
        <w:t xml:space="preserve">online</w:t>
      </w:r>
      <w:r>
        <w:rPr>
          <w:bCs/>
          <w:sz w:val="28"/>
          <w:szCs w:val="28"/>
        </w:rPr>
        <w:t xml:space="preserve">» на сайте </w:t>
      </w:r>
      <w:r>
        <w:rPr>
          <w:bCs/>
          <w:sz w:val="28"/>
          <w:szCs w:val="28"/>
        </w:rPr>
        <w:t xml:space="preserve">Росреестра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contextualSpacing/>
        <w:ind w:firstLine="708"/>
        <w:jc w:val="both"/>
        <w:widowControl/>
        <w:rPr>
          <w:rFonts w:eastAsia="Times New Roman"/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В случае, если в отношении  объекта недвижимости  имеются ограничения (обременения) </w:t>
      </w:r>
      <w:r>
        <w:rPr>
          <w:rFonts w:eastAsia="Times New Roman"/>
          <w:sz w:val="28"/>
          <w:szCs w:val="28"/>
          <w:u w:val="none"/>
        </w:rPr>
        <w:t xml:space="preserve">в виде ареста или запрета</w:t>
      </w:r>
      <w:r>
        <w:rPr>
          <w:sz w:val="28"/>
          <w:szCs w:val="28"/>
          <w:u w:val="none"/>
        </w:rPr>
        <w:t xml:space="preserve">, собственнику необходимо обратиться в орган, наложивший такое </w:t>
      </w:r>
      <w:r>
        <w:rPr>
          <w:sz w:val="28"/>
          <w:szCs w:val="28"/>
          <w:u w:val="none"/>
        </w:rPr>
        <w:t xml:space="preserve">ограничение, за  снятием.</w:t>
      </w:r>
      <w:r>
        <w:rPr>
          <w:rFonts w:eastAsia="Times New Roman"/>
          <w:sz w:val="28"/>
          <w:szCs w:val="28"/>
          <w:u w:val="none"/>
        </w:rPr>
      </w:r>
      <w:r>
        <w:rPr>
          <w:rFonts w:eastAsia="Times New Roman"/>
          <w:sz w:val="28"/>
          <w:szCs w:val="28"/>
          <w:u w:val="none"/>
        </w:rPr>
      </w:r>
    </w:p>
    <w:p>
      <w:pPr>
        <w:contextualSpacing/>
        <w:ind w:firstLine="708"/>
        <w:jc w:val="both"/>
        <w:widowControl/>
        <w:rPr>
          <w:rFonts w:eastAsia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  <w:highlight w:val="none"/>
        </w:rPr>
        <w:t xml:space="preserve">Другим, наиболее характерным о</w:t>
      </w:r>
      <w:r>
        <w:rPr>
          <w:rFonts w:eastAsia="Times New Roman"/>
          <w:sz w:val="28"/>
          <w:szCs w:val="28"/>
        </w:rPr>
        <w:t xml:space="preserve">снованием для принятия решений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приостановлении государственной регистрации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 и кадастрового учета объектов недвижимости </w:t>
      </w:r>
      <w:r>
        <w:rPr>
          <w:rFonts w:eastAsia="Times New Roman"/>
          <w:sz w:val="28"/>
          <w:szCs w:val="28"/>
          <w:highlight w:val="none"/>
        </w:rPr>
        <w:t xml:space="preserve">во втором полугодии текущего года, является </w:t>
      </w:r>
      <w:r>
        <w:rPr>
          <w:rFonts w:eastAsia="Times New Roman"/>
          <w:sz w:val="28"/>
          <w:szCs w:val="28"/>
        </w:rPr>
        <w:t xml:space="preserve">отсутствие в </w:t>
      </w:r>
      <w:r>
        <w:rPr>
          <w:rFonts w:eastAsia="Times New Roman"/>
          <w:sz w:val="28"/>
          <w:szCs w:val="28"/>
        </w:rPr>
        <w:t xml:space="preserve">ЕГРН</w:t>
      </w:r>
      <w:r>
        <w:rPr>
          <w:rFonts w:eastAsia="Times New Roman"/>
          <w:sz w:val="28"/>
          <w:szCs w:val="28"/>
        </w:rPr>
        <w:t xml:space="preserve"> сведений</w:t>
      </w:r>
      <w:r>
        <w:rPr>
          <w:rFonts w:eastAsia="Times New Roman"/>
          <w:sz w:val="28"/>
          <w:szCs w:val="28"/>
        </w:rPr>
        <w:t xml:space="preserve"> о местоположении границ земельного участка. </w:t>
      </w:r>
      <w:r>
        <w:rPr>
          <w:rFonts w:eastAsia="Times New Roman"/>
          <w:sz w:val="28"/>
          <w:szCs w:val="28"/>
          <w14:ligatures w14:val="none"/>
        </w:rPr>
      </w:r>
      <w:r>
        <w:rPr>
          <w:rFonts w:eastAsia="Times New Roman"/>
          <w:sz w:val="28"/>
          <w:szCs w:val="28"/>
          <w14:ligatures w14:val="none"/>
        </w:rPr>
      </w:r>
    </w:p>
    <w:p>
      <w:pPr>
        <w:contextualSpacing/>
        <w:ind w:firstLine="708"/>
        <w:jc w:val="both"/>
        <w:widowControl/>
        <w:rPr>
          <w:rFonts w:eastAsia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</w:rPr>
        <w:t xml:space="preserve">Данное обстоятельство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являетс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препятствием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для осуществления государственного кадастрового учета и (или) государственной регистрации прав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 в отношении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объектов недвижимости (земельных участков,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являющихся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предметом договора, на основании которого осуществляется регистрация прав, ограничение прав, обременение земельного участка, и всех объектов капитального строительства, расположенных на земельных участках без границ). </w:t>
      </w:r>
      <w:r>
        <w:rPr>
          <w:rFonts w:eastAsia="Times New Roman"/>
          <w:sz w:val="28"/>
          <w:szCs w:val="28"/>
          <w14:ligatures w14:val="none"/>
        </w:rPr>
      </w:r>
      <w:r>
        <w:rPr>
          <w:rFonts w:eastAsia="Times New Roman"/>
          <w:sz w:val="28"/>
          <w:szCs w:val="28"/>
          <w14:ligatures w14:val="none"/>
        </w:rPr>
      </w:r>
    </w:p>
    <w:p>
      <w:pPr>
        <w:contextualSpacing/>
        <w:ind w:firstLine="708"/>
        <w:jc w:val="both"/>
        <w:widowControl/>
        <w:rPr>
          <w:rFonts w:eastAsia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</w:rPr>
        <w:t xml:space="preserve">Обращаем внимание, с 01 марта 2025 года для осуществления государственной регистрации перехода права собственности на земельный участок, объект капитального строительства (по договору дарения, купли-продажи, мены, иных гражданско-правовых договоров),  </w:t>
      </w:r>
      <w:r>
        <w:rPr>
          <w:rFonts w:eastAsia="Times New Roman"/>
          <w:sz w:val="28"/>
          <w:szCs w:val="28"/>
        </w:rPr>
        <w:t xml:space="preserve">государственной регистрации</w:t>
      </w:r>
      <w:r>
        <w:rPr>
          <w:rFonts w:eastAsia="Times New Roman"/>
          <w:sz w:val="28"/>
          <w:szCs w:val="28"/>
        </w:rPr>
        <w:t xml:space="preserve"> сделки в виде аренды, обременения в виде ипотеки,  в случае постановки на государственный кадастровый учет зданий, сооружений, </w:t>
      </w:r>
      <w:r>
        <w:rPr>
          <w:rFonts w:eastAsia="Times New Roman"/>
          <w:sz w:val="28"/>
          <w:szCs w:val="28"/>
        </w:rPr>
        <w:t xml:space="preserve">объектов незавершенного строительства,</w:t>
      </w:r>
      <w:r>
        <w:rPr>
          <w:rFonts w:eastAsia="Times New Roman"/>
          <w:sz w:val="28"/>
          <w:szCs w:val="28"/>
        </w:rPr>
        <w:t xml:space="preserve">                 а также государственного кадастрового учета изменений в отношении таких объектов недвижимости, собственникам  необходимо убедиться, что границы земельного участка установлены в соответствии с требованиями действующего законодательства.</w:t>
      </w:r>
      <w:r>
        <w:rPr>
          <w:rFonts w:eastAsia="Times New Roman"/>
          <w:sz w:val="28"/>
          <w:szCs w:val="28"/>
          <w14:ligatures w14:val="none"/>
        </w:rPr>
      </w:r>
      <w:r>
        <w:rPr>
          <w:rFonts w:eastAsia="Times New Roman"/>
          <w:sz w:val="28"/>
          <w:szCs w:val="28"/>
          <w14:ligatures w14:val="none"/>
        </w:rPr>
      </w:r>
    </w:p>
    <w:p>
      <w:pPr>
        <w:contextualSpacing/>
        <w:ind w:firstLine="708"/>
        <w:jc w:val="both"/>
        <w:widowControl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</w:rPr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ладелец недвижимости до подачи документов на государственную регистрацию может узнать сведения о местоположении границ земельного участка  </w:t>
      </w:r>
      <w:r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помощью сервиса </w:t>
      </w:r>
      <w:r>
        <w:rPr>
          <w:bCs/>
          <w:sz w:val="28"/>
          <w:szCs w:val="28"/>
        </w:rPr>
        <w:t xml:space="preserve">Росреестра</w:t>
      </w:r>
      <w:r>
        <w:rPr>
          <w:bCs/>
          <w:sz w:val="28"/>
          <w:szCs w:val="28"/>
        </w:rPr>
        <w:t xml:space="preserve"> «Публичная кадастровая карта», который размещен на главной странице сайта ведомства.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/>
        <w:ind w:firstLine="708"/>
        <w:jc w:val="both"/>
        <w:widowControl/>
        <w:rPr>
          <w:rFonts w:eastAsia="Times New Roman"/>
          <w:sz w:val="28"/>
          <w:szCs w:val="28"/>
          <w:highlight w:val="none"/>
          <w:u w:val="none"/>
        </w:rPr>
      </w:pPr>
      <w:r>
        <w:rPr>
          <w:sz w:val="28"/>
          <w:szCs w:val="28"/>
          <w:u w:val="none"/>
        </w:rPr>
        <w:t xml:space="preserve"> В случае, если  сведения о местоположении границ земельного участка отсутствуют в ЕГРН</w:t>
      </w:r>
      <w:r>
        <w:rPr>
          <w:sz w:val="28"/>
          <w:szCs w:val="28"/>
          <w:u w:val="none"/>
        </w:rPr>
        <w:t xml:space="preserve">, собственнику </w:t>
      </w:r>
      <w:r>
        <w:rPr>
          <w:sz w:val="28"/>
          <w:szCs w:val="28"/>
          <w:u w:val="none"/>
        </w:rPr>
        <w:t xml:space="preserve">земельного участка</w:t>
      </w:r>
      <w:r>
        <w:rPr>
          <w:sz w:val="28"/>
          <w:szCs w:val="28"/>
          <w:u w:val="none"/>
        </w:rPr>
        <w:t xml:space="preserve"> необходимо обратиться</w:t>
      </w:r>
      <w:r>
        <w:rPr>
          <w:sz w:val="28"/>
          <w:szCs w:val="28"/>
          <w:u w:val="none"/>
        </w:rPr>
        <w:t xml:space="preserve">                    к кадастровому инженеру для установления границ земельного участка                                и  подготовки межевого плана. В дальнейшем представить межевой план в орган регистрации прав для  внесения соответствующих сведений в ЕГРН</w:t>
      </w:r>
      <w:r>
        <w:rPr>
          <w:sz w:val="28"/>
          <w:szCs w:val="28"/>
          <w:u w:val="none"/>
        </w:rPr>
        <w:t xml:space="preserve">.</w:t>
      </w:r>
      <w:r>
        <w:rPr>
          <w:rFonts w:eastAsia="Times New Roman"/>
          <w:sz w:val="28"/>
          <w:szCs w:val="28"/>
          <w:u w:val="none"/>
        </w:rPr>
      </w:r>
      <w:r>
        <w:rPr>
          <w:rFonts w:eastAsia="Times New Roman"/>
          <w:sz w:val="28"/>
          <w:szCs w:val="28"/>
          <w:highlight w:val="none"/>
          <w:u w:val="none"/>
        </w:rPr>
      </w:r>
    </w:p>
    <w:p>
      <w:pPr>
        <w:contextualSpacing/>
        <w:ind w:firstLine="0"/>
        <w:jc w:val="both"/>
        <w:widowControl/>
        <w:rPr>
          <w:rFonts w:eastAsia="Times New Roman"/>
          <w:sz w:val="28"/>
          <w:szCs w:val="28"/>
          <w:u w:val="none"/>
        </w:rPr>
      </w:pPr>
      <w:r>
        <w:rPr>
          <w:rFonts w:eastAsia="Times New Roman"/>
          <w:sz w:val="28"/>
          <w:szCs w:val="28"/>
          <w:u w:val="none"/>
        </w:rPr>
      </w:r>
      <w:r>
        <w:rPr>
          <w:rFonts w:eastAsia="Times New Roman"/>
          <w:sz w:val="28"/>
          <w:szCs w:val="28"/>
          <w:u w:val="none"/>
        </w:rPr>
      </w:r>
    </w:p>
    <w:p>
      <w:pPr>
        <w:contextualSpacing/>
        <w:ind w:firstLine="0"/>
        <w:jc w:val="both"/>
        <w:widowControl/>
        <w:rPr>
          <w:rFonts w:eastAsia="Times New Roman"/>
          <w:sz w:val="28"/>
          <w:szCs w:val="28"/>
          <w:u w:val="none"/>
        </w:rPr>
      </w:pPr>
      <w:r>
        <w:rPr>
          <w:rFonts w:eastAsia="Times New Roman"/>
          <w:sz w:val="28"/>
          <w:szCs w:val="28"/>
          <w:highlight w:val="none"/>
          <w:u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7815" cy="664781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8588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47814" cy="6647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23.45pt;height:523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eastAsia="Times New Roman"/>
          <w:sz w:val="28"/>
          <w:szCs w:val="28"/>
          <w:highlight w:val="none"/>
          <w:u w:val="none"/>
        </w:rPr>
      </w:r>
    </w:p>
    <w:sectPr>
      <w:footnotePr/>
      <w:endnotePr/>
      <w:type w:val="nextPage"/>
      <w:pgSz w:w="11909" w:h="16834" w:orient="portrait"/>
      <w:pgMar w:top="720" w:right="720" w:bottom="720" w:left="720" w:header="720" w:footer="720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ndale Sans UI">
    <w:panose1 w:val="020206030504050203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1"/>
    <w:next w:val="841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2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1"/>
    <w:next w:val="841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2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2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2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2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2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2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2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1"/>
    <w:next w:val="841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2"/>
    <w:link w:val="685"/>
    <w:uiPriority w:val="10"/>
    <w:rPr>
      <w:sz w:val="48"/>
      <w:szCs w:val="48"/>
    </w:rPr>
  </w:style>
  <w:style w:type="paragraph" w:styleId="687">
    <w:name w:val="Subtitle"/>
    <w:basedOn w:val="841"/>
    <w:next w:val="841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2"/>
    <w:link w:val="687"/>
    <w:uiPriority w:val="11"/>
    <w:rPr>
      <w:sz w:val="24"/>
      <w:szCs w:val="24"/>
    </w:rPr>
  </w:style>
  <w:style w:type="paragraph" w:styleId="689">
    <w:name w:val="Quote"/>
    <w:basedOn w:val="841"/>
    <w:next w:val="841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1"/>
    <w:next w:val="841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basedOn w:val="842"/>
    <w:link w:val="693"/>
    <w:uiPriority w:val="99"/>
  </w:style>
  <w:style w:type="paragraph" w:styleId="695">
    <w:name w:val="Footer"/>
    <w:basedOn w:val="841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basedOn w:val="842"/>
    <w:link w:val="695"/>
    <w:uiPriority w:val="99"/>
  </w:style>
  <w:style w:type="paragraph" w:styleId="697">
    <w:name w:val="Caption"/>
    <w:basedOn w:val="841"/>
    <w:next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697"/>
    <w:link w:val="695"/>
    <w:uiPriority w:val="99"/>
  </w:style>
  <w:style w:type="table" w:styleId="699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character" w:styleId="826">
    <w:name w:val="Footnote Text Char"/>
    <w:link w:val="848"/>
    <w:uiPriority w:val="99"/>
    <w:rPr>
      <w:sz w:val="18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List Paragraph"/>
    <w:basedOn w:val="841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6">
    <w:name w:val="Normal (Web)"/>
    <w:basedOn w:val="841"/>
    <w:uiPriority w:val="99"/>
    <w:semiHidden/>
    <w:unhideWhenUsed/>
    <w:pPr>
      <w:spacing w:before="100" w:beforeAutospacing="1" w:after="100" w:afterAutospacing="1"/>
      <w:widowControl/>
    </w:pPr>
    <w:rPr>
      <w:rFonts w:eastAsia="Times New Roman"/>
      <w:sz w:val="24"/>
      <w:szCs w:val="24"/>
    </w:rPr>
  </w:style>
  <w:style w:type="paragraph" w:styleId="84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48">
    <w:name w:val="footnote text"/>
    <w:basedOn w:val="841"/>
    <w:link w:val="849"/>
    <w:uiPriority w:val="99"/>
    <w:semiHidden/>
    <w:unhideWhenUsed/>
  </w:style>
  <w:style w:type="character" w:styleId="849" w:customStyle="1">
    <w:name w:val="Текст сноски Знак"/>
    <w:basedOn w:val="842"/>
    <w:link w:val="848"/>
    <w:uiPriority w:val="99"/>
    <w:semiHidden/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850">
    <w:name w:val="footnote reference"/>
    <w:unhideWhenUsed/>
    <w:rPr>
      <w:vertAlign w:val="superscript"/>
    </w:rPr>
  </w:style>
  <w:style w:type="character" w:styleId="851" w:customStyle="1">
    <w:name w:val="Основной текст (2)_"/>
    <w:basedOn w:val="84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852" w:customStyle="1">
    <w:name w:val="Основной текст (2)"/>
    <w:basedOn w:val="85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single"/>
      <w:lang w:val="ru-RU" w:eastAsia="ru-RU" w:bidi="ru-RU"/>
    </w:rPr>
  </w:style>
  <w:style w:type="paragraph" w:styleId="853">
    <w:name w:val="Balloon Text"/>
    <w:basedOn w:val="841"/>
    <w:link w:val="854"/>
    <w:uiPriority w:val="99"/>
    <w:semiHidden/>
    <w:unhideWhenUsed/>
    <w:rPr>
      <w:rFonts w:ascii="Tahoma" w:hAnsi="Tahoma" w:cs="Tahoma"/>
      <w:sz w:val="16"/>
      <w:szCs w:val="16"/>
    </w:rPr>
  </w:style>
  <w:style w:type="character" w:styleId="854" w:customStyle="1">
    <w:name w:val="Текст выноски Знак"/>
    <w:basedOn w:val="842"/>
    <w:link w:val="853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1_633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Докукина Людмила Геннадьевна</dc:creator>
  <cp:keywords/>
  <dc:description/>
  <cp:revision>40</cp:revision>
  <dcterms:created xsi:type="dcterms:W3CDTF">2019-12-16T07:34:00Z</dcterms:created>
  <dcterms:modified xsi:type="dcterms:W3CDTF">2026-01-22T06:58:12Z</dcterms:modified>
</cp:coreProperties>
</file>