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801"/>
      </w:pPr>
      <w:r>
        <w:rPr>
          <w:rFonts w:eastAsia="Times New Roman"/>
          <w:spacing w:val="-6"/>
          <w:sz w:val="30"/>
          <w:szCs w:val="30"/>
        </w:rPr>
      </w:r>
      <w:r>
        <w:rPr>
          <w:rFonts w:eastAsia="Calibri"/>
          <w:b/>
          <w:bCs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290197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="Calibri"/>
          <w:b/>
          <w:bCs/>
          <w:szCs w:val="28"/>
        </w:rPr>
        <w:t xml:space="preserve">                                                                      </w:t>
      </w:r>
      <w:r/>
      <w:r/>
    </w:p>
    <w:p>
      <w:pPr>
        <w:pStyle w:val="1_801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pStyle w:val="1_801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  <w:t xml:space="preserve">30.09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Style w:val="8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Управления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75"/>
        <w:jc w:val="both"/>
        <w:rPr>
          <w:rFonts w:ascii="Tinos" w:hAnsi="Tinos" w:cs="Tinos"/>
          <w:b w:val="0"/>
          <w:bCs/>
          <w:i/>
          <w:sz w:val="28"/>
          <w:szCs w:val="28"/>
        </w:rPr>
      </w:pP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</w:r>
      <w:r>
        <w:rPr>
          <w:rFonts w:ascii="Tinos" w:hAnsi="Tinos" w:cs="Tinos"/>
          <w:b w:val="0"/>
          <w:bCs/>
          <w:i/>
          <w:sz w:val="28"/>
          <w:szCs w:val="28"/>
        </w:rPr>
      </w:r>
      <w:r>
        <w:rPr>
          <w:rFonts w:ascii="Tinos" w:hAnsi="Tinos" w:cs="Tinos"/>
          <w:b w:val="0"/>
          <w:bCs/>
          <w:i/>
          <w:sz w:val="28"/>
          <w:szCs w:val="28"/>
        </w:rPr>
      </w:r>
    </w:p>
    <w:p>
      <w:pPr>
        <w:pStyle w:val="875"/>
        <w:jc w:val="left"/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Порядок подачи документов в Росреестр в электронном вид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  <w:t xml:space="preserve">е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Управление Росреестра по Алтайскому краю напоминает, что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01.03.2025 вступили в силу изменения в законодательство,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-4"/>
          <w:sz w:val="28"/>
          <w:szCs w:val="28"/>
          <w:highlight w:val="white"/>
        </w:rPr>
        <w:t xml:space="preserve">согласно которым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юридические лица представляют заявления о проведении учетно-регистрационных действий, а также прилагаемые к ним документы в орган регистрации прав только в форме электронных документов.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color w:val="292c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292c2f"/>
          <w:sz w:val="28"/>
          <w:szCs w:val="28"/>
          <w:highlight w:val="none"/>
        </w:rPr>
        <w:t xml:space="preserve">Для физических лиц </w:t>
      </w:r>
      <w:r>
        <w:rPr>
          <w:rFonts w:ascii="Times New Roman" w:hAnsi="Times New Roman" w:eastAsia="Times New Roman" w:cs="Times New Roman"/>
          <w:b w:val="0"/>
          <w:bCs w:val="0"/>
          <w:color w:val="292c2f"/>
          <w:sz w:val="28"/>
          <w:szCs w:val="28"/>
          <w:highlight w:val="none"/>
        </w:rPr>
        <w:t xml:space="preserve">обязательное обращение в Росреестр  в электронном виде предусмотрено только при регистрации договоров участия в долевом строительстве. Вместе с тем, физические лица могут предоставлять документы в Росреестр в электронном виде без каких-либо ограничений.   </w:t>
      </w:r>
      <w:r>
        <w:rPr>
          <w:rFonts w:ascii="Times New Roman" w:hAnsi="Times New Roman" w:eastAsia="Times New Roman" w:cs="Times New Roman"/>
          <w:b w:val="0"/>
          <w:bCs w:val="0"/>
          <w:color w:val="292c2f"/>
          <w:sz w:val="28"/>
          <w:szCs w:val="28"/>
          <w:highlight w:val="none"/>
        </w:rPr>
        <w:t xml:space="preserve">Для этого, за некоторыми исключениями, необходимо наличие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усиленной квалифицированной электронной подписи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292c2f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292c2f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Электронные документы могут быть представлены в форматах, предусмотренных законом (xml, pdf, pdf-A и т д.).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Например, для ДДУ необходим формат PDF-A, для технического и межевого планов, акта обследования - XML.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отдельных случаях – возможно представить переведенные в электронный вид бумажные документы (электронное образы в формате pdf).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Если с заявлением обращается представитель физического или юридического лица – необходима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нотариально удостоверенная доверенность для подачи заявлений в Росреестр на лиц, имеющих право действовать по доверенности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нотариальная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машиночитаемая доверенность (МЧД) , либ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доверенность в в электронном виде, тождественность бумажному виду для которой установлена нотариусом с приложением файла подписи нотариуса.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Важное правило при подаче документов в Росреестр –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highlight w:val="none"/>
        </w:rPr>
        <w:t xml:space="preserve">кто документы подписал, того лица и должна быть приложена электронная подпись.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 Если документ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ы удостоверил  нотариус- подпись нотариуса, по договору купли-продажи – подписи продавца и покупателя, к судебному акту – подпись судьи и т.д.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t xml:space="preserve">Оплатить государственную пошлину также можно с помощью электронных  платежных систем кредитных организаций по УИНу, который предоставляется заявителю после подачи документов в 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  <w:t xml:space="preserve">электронном виде.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Получить электронную подпись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юридические лица могут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офисах ФНС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(бесплатно).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Физические лица -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 удостоверяющих центрах,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на электронных площадках, как правило, это облачные подписи,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на электронных площадках кредитных организаций.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 отдельных случаях достаточно 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осключа, полученного бесплатно на ЕПГУ.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 случае поступления в Росреестр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 бумажном виде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заявле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ний и документов, для которых предусмотрено обязательное предоставление в электронной форме,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государственным регистратором будет принято решение о возврате документов без рассмотрения. 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свою очередь,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 совершением электронной сделки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переходу, прекращению права собственности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объекты недвижимости, либо по уступке прав по договору  участия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долевом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строительстве физическому лицу или его представителю (при наличии соответствующих полномочий) необходимо обратиться в МФЦ с заявлением 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возможности представления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Росреестр документов в  электронном виде.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Отсутствие в ЕГРН записи о возможности регистрации на основании электронных документов, является основанием для возврата без рассмотрения заявлений  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регистрации перехода, прекращения права собственности на соответствующий объект недвижимости или сделки об уступке прав по договору участия в долевом строительстве.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 портале услуг Росреестра размещено руководство пользователя с описанием алгоритма действий заявителей по каждому виду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885"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Напоминаем,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что срок проведения учетно-регистрационных действий по электронным заявлениям в отношении объектов недвижимости, расположенных на территории Алтайского края, составляет 1 рабочий день, при условии оплаты государственной полины и отсутствии замечаний.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pStyle w:val="885"/>
        <w:ind w:left="0" w:right="0" w:firstLine="709"/>
        <w:jc w:val="both"/>
        <w:spacing w:before="0" w:beforeAutospacing="0" w:after="0" w:afterAutospacing="0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0235" cy="551023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6749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5510234" cy="55102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3.88pt;height:433.8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2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5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80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6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5"/>
        <w:ind w:firstLine="0"/>
        <w:jc w:val="both"/>
        <w:spacing w:before="0" w:beforeAutospacing="0" w:after="0" w:afterAutospacing="0"/>
        <w:rPr>
          <w:sz w:val="28"/>
          <w:szCs w:val="28"/>
        </w:rPr>
      </w:pPr>
      <w:r>
        <w:rPr>
          <w:rFonts w:eastAsia="Calibri"/>
          <w:color w:val="0000ff"/>
          <w:sz w:val="20"/>
          <w:u w:val="single"/>
          <w:shd w:val="clear" w:color="auto" w:fill="ffffff"/>
        </w:rPr>
        <w:t xml:space="preserve">https://vk.com/video-46688657_45623910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ndale Sans UI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6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1"/>
    <w:link w:val="869"/>
    <w:uiPriority w:val="9"/>
    <w:rPr>
      <w:rFonts w:ascii="Arial" w:hAnsi="Arial" w:eastAsia="Arial" w:cs="Arial"/>
      <w:sz w:val="40"/>
      <w:szCs w:val="40"/>
    </w:rPr>
  </w:style>
  <w:style w:type="paragraph" w:styleId="699">
    <w:name w:val="Heading 2"/>
    <w:basedOn w:val="868"/>
    <w:next w:val="868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0">
    <w:name w:val="Heading 2 Char"/>
    <w:basedOn w:val="871"/>
    <w:link w:val="699"/>
    <w:uiPriority w:val="9"/>
    <w:rPr>
      <w:rFonts w:ascii="Arial" w:hAnsi="Arial" w:eastAsia="Arial" w:cs="Arial"/>
      <w:sz w:val="34"/>
    </w:rPr>
  </w:style>
  <w:style w:type="paragraph" w:styleId="701">
    <w:name w:val="Heading 3"/>
    <w:basedOn w:val="868"/>
    <w:next w:val="868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2">
    <w:name w:val="Heading 3 Char"/>
    <w:basedOn w:val="871"/>
    <w:link w:val="701"/>
    <w:uiPriority w:val="9"/>
    <w:rPr>
      <w:rFonts w:ascii="Arial" w:hAnsi="Arial" w:eastAsia="Arial" w:cs="Arial"/>
      <w:sz w:val="30"/>
      <w:szCs w:val="30"/>
    </w:rPr>
  </w:style>
  <w:style w:type="character" w:styleId="703">
    <w:name w:val="Heading 4 Char"/>
    <w:basedOn w:val="871"/>
    <w:link w:val="870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1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1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1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1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68"/>
    <w:next w:val="868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1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68"/>
    <w:next w:val="868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basedOn w:val="871"/>
    <w:link w:val="715"/>
    <w:uiPriority w:val="10"/>
    <w:rPr>
      <w:sz w:val="48"/>
      <w:szCs w:val="48"/>
    </w:rPr>
  </w:style>
  <w:style w:type="paragraph" w:styleId="717">
    <w:name w:val="Subtitle"/>
    <w:basedOn w:val="868"/>
    <w:next w:val="868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basedOn w:val="871"/>
    <w:link w:val="717"/>
    <w:uiPriority w:val="11"/>
    <w:rPr>
      <w:sz w:val="24"/>
      <w:szCs w:val="24"/>
    </w:rPr>
  </w:style>
  <w:style w:type="paragraph" w:styleId="719">
    <w:name w:val="Quote"/>
    <w:basedOn w:val="868"/>
    <w:next w:val="868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68"/>
    <w:next w:val="868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character" w:styleId="723">
    <w:name w:val="Header Char"/>
    <w:basedOn w:val="871"/>
    <w:link w:val="880"/>
    <w:uiPriority w:val="99"/>
  </w:style>
  <w:style w:type="character" w:styleId="724">
    <w:name w:val="Footer Char"/>
    <w:basedOn w:val="871"/>
    <w:link w:val="882"/>
    <w:uiPriority w:val="99"/>
  </w:style>
  <w:style w:type="paragraph" w:styleId="725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82"/>
    <w:uiPriority w:val="99"/>
  </w:style>
  <w:style w:type="table" w:styleId="727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7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8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9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0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1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2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Footnote Text Char"/>
    <w:link w:val="876"/>
    <w:uiPriority w:val="99"/>
    <w:rPr>
      <w:sz w:val="18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1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paragraph" w:styleId="869">
    <w:name w:val="Heading 1"/>
    <w:basedOn w:val="868"/>
    <w:next w:val="868"/>
    <w:link w:val="887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0">
    <w:name w:val="Heading 4"/>
    <w:basedOn w:val="868"/>
    <w:link w:val="886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>
    <w:name w:val="Hyperlink"/>
    <w:semiHidden/>
    <w:unhideWhenUsed/>
    <w:rPr>
      <w:strike w:val="0"/>
      <w:color w:val="28529d"/>
      <w:u w:val="none"/>
    </w:rPr>
  </w:style>
  <w:style w:type="paragraph" w:styleId="875" w:customStyle="1">
    <w:name w:val="ConsPlusNormal"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76">
    <w:name w:val="footnote text"/>
    <w:basedOn w:val="868"/>
    <w:link w:val="877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Текст сноски Знак"/>
    <w:basedOn w:val="871"/>
    <w:link w:val="87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8">
    <w:name w:val="footnote reference"/>
    <w:uiPriority w:val="99"/>
    <w:qFormat/>
    <w:rPr>
      <w:vertAlign w:val="superscript"/>
    </w:rPr>
  </w:style>
  <w:style w:type="paragraph" w:styleId="879">
    <w:name w:val="List Paragraph"/>
    <w:basedOn w:val="868"/>
    <w:uiPriority w:val="99"/>
    <w:qFormat/>
    <w:pPr>
      <w:contextualSpacing/>
      <w:ind w:left="720"/>
    </w:pPr>
  </w:style>
  <w:style w:type="paragraph" w:styleId="880">
    <w:name w:val="Header"/>
    <w:basedOn w:val="868"/>
    <w:link w:val="8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1" w:customStyle="1">
    <w:name w:val="Верхний колонтитул Знак"/>
    <w:basedOn w:val="871"/>
    <w:link w:val="880"/>
    <w:uiPriority w:val="99"/>
  </w:style>
  <w:style w:type="paragraph" w:styleId="882">
    <w:name w:val="Footer"/>
    <w:basedOn w:val="868"/>
    <w:link w:val="8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3" w:customStyle="1">
    <w:name w:val="Нижний колонтитул Знак"/>
    <w:basedOn w:val="871"/>
    <w:link w:val="882"/>
    <w:uiPriority w:val="99"/>
  </w:style>
  <w:style w:type="character" w:styleId="884" w:customStyle="1">
    <w:name w:val="Font Style18"/>
    <w:basedOn w:val="871"/>
    <w:uiPriority w:val="99"/>
    <w:rPr>
      <w:rFonts w:ascii="Times New Roman" w:hAnsi="Times New Roman" w:cs="Times New Roman"/>
      <w:sz w:val="26"/>
      <w:szCs w:val="26"/>
    </w:rPr>
  </w:style>
  <w:style w:type="paragraph" w:styleId="885">
    <w:name w:val="Normal (Web)"/>
    <w:basedOn w:val="86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6" w:customStyle="1">
    <w:name w:val="Заголовок 4 Знак"/>
    <w:basedOn w:val="871"/>
    <w:link w:val="870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87" w:customStyle="1">
    <w:name w:val="Заголовок 1 Знак"/>
    <w:basedOn w:val="871"/>
    <w:link w:val="86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_801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mailto:22press_rosreestr@mail.ru" TargetMode="External"/><Relationship Id="rId13" Type="http://schemas.openxmlformats.org/officeDocument/2006/relationships/hyperlink" Target="http://www.rosreestr.gov.ru/" TargetMode="External"/><Relationship Id="rId14" Type="http://schemas.openxmlformats.org/officeDocument/2006/relationships/hyperlink" Target="https://dzen.ru/id/6392ad9bbc8b8d2fd42961a7" TargetMode="External"/><Relationship Id="rId15" Type="http://schemas.openxmlformats.org/officeDocument/2006/relationships/hyperlink" Target="https://vk.com/rosreestr_altaiskii_krai" TargetMode="External"/><Relationship Id="rId16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7B263-9CA5-4C9C-8503-7BAB1380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Хайрутдинова Ольга Анатольевна</dc:creator>
  <cp:revision>14</cp:revision>
  <dcterms:created xsi:type="dcterms:W3CDTF">2024-01-15T02:29:00Z</dcterms:created>
  <dcterms:modified xsi:type="dcterms:W3CDTF">2025-09-30T09:24:13Z</dcterms:modified>
</cp:coreProperties>
</file>