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3"/>
        <w:jc w:val="left"/>
        <w:rPr>
          <w:b/>
          <w:bCs/>
          <w:sz w:val="30"/>
          <w:szCs w:val="30"/>
          <w:highlight w:val="none"/>
          <w:shd w:val="clear" w:color="auto" w:fill="fffffe"/>
        </w:rPr>
      </w:pPr>
      <w:r>
        <w:rPr>
          <w:b/>
          <w:sz w:val="30"/>
          <w:szCs w:val="30"/>
          <w:shd w:val="clear" w:color="auto" w:fill="fffff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80955" cy="733273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1725668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>
                          <a:alphaModFix amt="100000"/>
                          <a:lum bright="0" contrast="0"/>
                        </a:blip>
                        <a:stretch/>
                      </pic:blipFill>
                      <pic:spPr bwMode="auto">
                        <a:xfrm rot="0" flipH="0" flipV="0">
                          <a:off x="0" y="0"/>
                          <a:ext cx="1980954" cy="733266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5.98pt;height:57.74pt;mso-wrap-distance-left:0.00pt;mso-wrap-distance-top:0.00pt;mso-wrap-distance-right:0.00pt;mso-wrap-distance-bottom:0.00pt;rotation:0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b/>
          <w:bCs/>
          <w:sz w:val="30"/>
          <w:szCs w:val="30"/>
          <w:highlight w:val="none"/>
          <w:shd w:val="clear" w:color="auto" w:fill="fffffe"/>
        </w:rPr>
      </w:r>
      <w:r>
        <w:rPr>
          <w:b/>
          <w:bCs/>
          <w:sz w:val="30"/>
          <w:szCs w:val="30"/>
          <w:highlight w:val="none"/>
          <w:shd w:val="clear" w:color="auto" w:fill="fffffe"/>
        </w:rPr>
      </w:r>
    </w:p>
    <w:p>
      <w:pPr>
        <w:pStyle w:val="977"/>
        <w:ind w:firstLine="0"/>
        <w:jc w:val="right"/>
        <w:rPr>
          <w:rFonts w:ascii="Times New Roman" w:hAnsi="Times New Roman"/>
          <w:b/>
          <w:bCs w:val="0"/>
          <w:i w:val="0"/>
          <w:caps w:val="0"/>
          <w:smallCaps w:val="0"/>
          <w:color w:val="auto"/>
          <w:spacing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8"/>
        </w:rPr>
        <w:t xml:space="preserve">ПРЕСС-РЕЛИЗ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highlight w:val="none"/>
        </w:rPr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29.06</w:t>
      </w:r>
      <w:r>
        <w:rPr>
          <w:rFonts w:ascii="Times New Roman" w:hAnsi="Times New Roman" w:eastAsia="Times New Roman" w:cs="Times New Roman"/>
          <w:b w:val="0"/>
          <w:bCs w:val="0"/>
          <w:sz w:val="30"/>
          <w:szCs w:val="30"/>
          <w:highlight w:val="none"/>
        </w:rPr>
        <w:t xml:space="preserve">.2026</w:t>
      </w:r>
      <w:r>
        <w:rPr>
          <w:rFonts w:ascii="Times New Roman" w:hAnsi="Times New Roman"/>
          <w:b/>
          <w:bCs w:val="0"/>
          <w:i w:val="0"/>
          <w:caps w:val="0"/>
          <w:smallCaps w:val="0"/>
          <w:color w:val="auto"/>
          <w:spacing w:val="0"/>
          <w:sz w:val="28"/>
          <w:szCs w:val="28"/>
          <w:highlight w:val="none"/>
        </w:rPr>
      </w:r>
      <w:r>
        <w:rPr>
          <w:rFonts w:ascii="Times New Roman" w:hAnsi="Times New Roman"/>
          <w:b/>
          <w:bCs w:val="0"/>
          <w:i w:val="0"/>
          <w:caps w:val="0"/>
          <w:smallCaps w:val="0"/>
          <w:color w:val="auto"/>
          <w:spacing w:val="0"/>
          <w:sz w:val="28"/>
          <w:szCs w:val="28"/>
          <w:highlight w:val="none"/>
        </w:rPr>
      </w:r>
    </w:p>
    <w:p>
      <w:pPr>
        <w:pStyle w:val="693"/>
        <w:rPr>
          <w:sz w:val="28"/>
          <w:szCs w:val="28"/>
        </w:rPr>
      </w:pPr>
      <w:r>
        <w:rPr>
          <w:rFonts w:ascii="Times New Roman" w:hAnsi="Times New Roman"/>
          <w:b/>
          <w:bCs/>
          <w:i w:val="0"/>
          <w:caps w:val="0"/>
          <w:smallCaps w:val="0"/>
          <w:color w:val="auto"/>
          <w:spacing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Для размещения в социальных сетях и на сайте Управления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0" w:firstLine="0"/>
        <w:jc w:val="both"/>
        <w:widowControl w:val="o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0" w:firstLine="0"/>
        <w:jc w:val="both"/>
        <w:widowControl w:val="off"/>
        <w:rPr>
          <w:rFonts w:ascii="Times New Roman" w:hAnsi="Times New Roman" w:eastAsia="Times New Roman" w:cs="Times New Roman"/>
          <w:color w:val="292c2f"/>
          <w:sz w:val="28"/>
          <w:szCs w:val="28"/>
        </w:rPr>
      </w:pP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60708"/>
          <w:sz w:val="28"/>
          <w:szCs w:val="28"/>
          <w:highlight w:val="white"/>
        </w:rPr>
        <w:t xml:space="preserve">Друзья, важная информация для дачников и садоводов. 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Росреестр внёс в Правительство РФ законопроект, разработанный в целях создания упрощенного механизма оформления прав на общее имущество СНТ. Изменения позволят сократить временные и финансовые затраты садоводов и облегчить процедуру передачи общего имущест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ва в пользование иным лицам или организациям - например, при проведении социальной газификации СНТ.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</w:r>
    </w:p>
    <w:p>
      <w:pPr>
        <w:ind w:right="0" w:firstLine="0"/>
        <w:jc w:val="both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right="0" w:firstLine="0"/>
        <w:jc w:val="both"/>
        <w:widowControl w:val="off"/>
        <w:rPr>
          <w:rFonts w:ascii="Times New Roman" w:hAnsi="Times New Roman" w:eastAsia="Times New Roman" w:cs="Times New Roman"/>
          <w:color w:val="292c2f"/>
          <w:sz w:val="28"/>
          <w:szCs w:val="28"/>
        </w:rPr>
      </w:pP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Изменения предлагается внести в Закон 217-ФЗ «О ведении гражданами садоводства и огородничества для собственных нужд и о внесении изменений в отдельные законодательные акты Российской Федерации».</w:t>
      </w:r>
      <w:r>
        <w:rPr>
          <w:rFonts w:ascii="Times New Roman" w:hAnsi="Times New Roman" w:eastAsia="Times New Roman" w:cs="Times New Roman"/>
          <w:color w:val="292c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</w:r>
    </w:p>
    <w:p>
      <w:pPr>
        <w:ind w:right="0" w:firstLine="0"/>
        <w:jc w:val="both"/>
        <w:widowControl w:val="off"/>
        <w:rPr>
          <w:rFonts w:ascii="Times New Roman" w:hAnsi="Times New Roman" w:eastAsia="Times New Roman" w:cs="Times New Roman"/>
          <w:color w:val="292c2f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292c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  <w:highlight w:val="none"/>
        </w:rPr>
      </w:r>
    </w:p>
    <w:p>
      <w:pPr>
        <w:ind w:right="0" w:firstLine="0"/>
        <w:jc w:val="both"/>
        <w:widowControl w:val="off"/>
        <w:rPr>
          <w:rFonts w:ascii="Times New Roman" w:hAnsi="Times New Roman" w:eastAsia="Times New Roman" w:cs="Times New Roman"/>
          <w:color w:val="292c2f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292c2f"/>
          <w:sz w:val="28"/>
          <w:szCs w:val="28"/>
        </w:rPr>
        <w:t xml:space="preserve">Общее имущество СНТ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 – это имущество, предназначенное для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 использования всеми правообладателями земельных участков на территории садоводства. Сюда относится вся земля в СНТ, за исключением садовых участков. На ней могут располагаться дороги, инженерные коммуникации (электрические сети, газо- и водопроводы и т.д.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), места для сбора бытовых отходов, спортивные площадки и иное имущество.</w:t>
        <w:br/>
        <w:br/>
        <w:t xml:space="preserve">Сегодня по гражданскому законодательству и Закону № 217-ФЗ созданное или приобретенное общее имущество СНТ передается в общую долевую собственность садоводов - собственников садовых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 участков в границах территории садоводства.</w:t>
        <w:br/>
        <w:br/>
      </w:r>
      <w:r>
        <w:rPr>
          <w:rFonts w:ascii="Times New Roman" w:hAnsi="Times New Roman" w:eastAsia="Times New Roman" w:cs="Times New Roman"/>
          <w:i/>
          <w:color w:val="292c2f"/>
          <w:sz w:val="28"/>
          <w:szCs w:val="28"/>
        </w:rPr>
        <w:t xml:space="preserve">«В то же время процедура оформления общего имущества СНТ сегодня затруднена, так как садоводы должны для этого провести общее собрание членов СНТ, рассчитать доли и оформить в Росреестре право общей долевой собственности на имущество общего пользования. За</w:t>
      </w:r>
      <w:r>
        <w:rPr>
          <w:rFonts w:ascii="Times New Roman" w:hAnsi="Times New Roman" w:eastAsia="Times New Roman" w:cs="Times New Roman"/>
          <w:i/>
          <w:color w:val="292c2f"/>
          <w:sz w:val="28"/>
          <w:szCs w:val="28"/>
        </w:rPr>
        <w:t xml:space="preserve">конопроект предусматривает, что право собственности садоводов на общее имущество СНТ будет возникать в силу закона с момента его постановки на кадастровый учет в Росреестре - по аналогии с общим имуществом собственников помещений в многоквартирных домах. Т</w:t>
      </w:r>
      <w:r>
        <w:rPr>
          <w:rFonts w:ascii="Times New Roman" w:hAnsi="Times New Roman" w:eastAsia="Times New Roman" w:cs="Times New Roman"/>
          <w:i/>
          <w:color w:val="292c2f"/>
          <w:sz w:val="28"/>
          <w:szCs w:val="28"/>
        </w:rPr>
        <w:t xml:space="preserve">о есть права на такое имущество возникают с момента постановки на кадастровый учет при отсутствии их государственной регистрации»,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 - рассказал</w:t>
      </w:r>
      <w:r>
        <w:rPr>
          <w:rFonts w:ascii="Times New Roman" w:hAnsi="Times New Roman" w:eastAsia="Times New Roman" w:cs="Times New Roman"/>
          <w:b/>
          <w:bCs/>
          <w:color w:val="292c2f"/>
          <w:sz w:val="28"/>
          <w:szCs w:val="28"/>
        </w:rPr>
        <w:t xml:space="preserve"> Андрей Рерих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, заместитель руководителя Управления </w:t>
        <w:br/>
        <w:t xml:space="preserve">Росреестра по Алтайскому краю.</w:t>
        <w:br/>
        <w:br/>
        <w:t xml:space="preserve">Изменения существенно упрощают процедуру оформления прав на общее имущество СНТ. </w:t>
        <w:br/>
        <w:t xml:space="preserve">Владимир Марков,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председатель Регионального отделения Алтайского края «Общероссийской общественной организации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«Союз садоводов России»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 отметил: </w:t>
        <w:br/>
      </w:r>
      <w:r>
        <w:rPr>
          <w:rFonts w:ascii="Times New Roman" w:hAnsi="Times New Roman" w:eastAsia="Times New Roman" w:cs="Times New Roman"/>
          <w:i/>
          <w:iCs/>
          <w:color w:val="292c2f"/>
          <w:sz w:val="28"/>
          <w:szCs w:val="28"/>
        </w:rPr>
        <w:t xml:space="preserve">«Садоводам больше не нужно будет тратить время на обращение в уполномоченный орган за решением о предоставлении такого участка в долевую собственность. Также не понадобятся </w:t>
      </w:r>
      <w:r>
        <w:rPr>
          <w:rFonts w:ascii="Times New Roman" w:hAnsi="Times New Roman" w:eastAsia="Times New Roman" w:cs="Times New Roman"/>
          <w:i/>
          <w:iCs/>
          <w:color w:val="292c2f"/>
          <w:sz w:val="28"/>
          <w:szCs w:val="28"/>
        </w:rPr>
        <w:t xml:space="preserve">процедуры, связанные с проведением общих собраний СНТ, расчетом долей и оформлением прав в Росреестре».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br/>
        <w:br/>
        <w:t xml:space="preserve">Также предлагается усовершенствовать регулирование в случаях изменения границ СНТ и включения в него новых участков. К примеру, для размещения объектов 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общего пользования или садовых участков, чьи собственники пожелали вступить в товарищество.</w:t>
        <w:br/>
        <w:br/>
        <w:t xml:space="preserve">В частности, предусмотрена необходимость получения согласия собственников участков, которые СНТ планирует включить в свои границы. Это позволит защитить их права, </w:t>
      </w:r>
      <w:r>
        <w:rPr>
          <w:rFonts w:ascii="Times New Roman" w:hAnsi="Times New Roman" w:eastAsia="Times New Roman" w:cs="Times New Roman"/>
          <w:color w:val="292c2f"/>
          <w:sz w:val="28"/>
          <w:szCs w:val="28"/>
        </w:rPr>
        <w:t xml:space="preserve">а также избежать в будущем оспаривания проектов межевания территории и решений общих собраний СНТ в отношении таких лиц (например, при возложении на них обязанности по содержанию общего имущества).</w:t>
      </w:r>
      <w:r>
        <w:rPr>
          <w:rFonts w:ascii="Times New Roman" w:hAnsi="Times New Roman" w:eastAsia="Times New Roman" w:cs="Times New Roman"/>
          <w:color w:val="292c2f"/>
          <w:sz w:val="28"/>
          <w:szCs w:val="28"/>
          <w:highlight w:val="none"/>
        </w:rPr>
      </w:r>
    </w:p>
    <w:p>
      <w:pPr>
        <w:ind w:right="0" w:firstLine="0"/>
        <w:jc w:val="both"/>
        <w:widowControl w:val="off"/>
        <w:rPr>
          <w:rFonts w:ascii="Times New Roman" w:hAnsi="Times New Roman" w:eastAsia="Times New Roman" w:cs="Times New Roman"/>
          <w:bCs w:val="0"/>
          <w:i w:val="0"/>
          <w:sz w:val="36"/>
          <w:szCs w:val="36"/>
          <w:highlight w:val="none"/>
        </w:rPr>
      </w:pPr>
      <w:r>
        <w:rPr>
          <w:rFonts w:ascii="Liberation Sans" w:hAnsi="Liberation Sans" w:eastAsia="Liberation Sans" w:cs="Liberation Sans"/>
          <w:color w:val="060708"/>
          <w:sz w:val="24"/>
          <w:highlight w:val="none"/>
        </w:rPr>
      </w:r>
      <w:r>
        <w:rPr>
          <w:rFonts w:ascii="Liberation Sans" w:hAnsi="Liberation Sans" w:eastAsia="Liberation Sans" w:cs="Liberation Sans"/>
          <w:color w:val="060708"/>
          <w:sz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36"/>
          <w:szCs w:val="36"/>
          <w:highlight w:val="none"/>
        </w:rPr>
      </w:r>
    </w:p>
    <w:p>
      <w:pPr>
        <w:ind w:right="0" w:firstLine="0"/>
        <w:jc w:val="both"/>
        <w:widowControl w:val="off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7000" cy="629700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799397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6296999" cy="6296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5.83pt;height:495.83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ind w:right="0" w:firstLine="0"/>
        <w:jc w:val="both"/>
        <w:widowControl w:val="off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ind w:right="0" w:firstLine="0"/>
        <w:jc w:val="both"/>
        <w:widowControl w:val="off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  <w:lang w:eastAsia="sk-SK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  <w:t xml:space="preserve">О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  <w:t xml:space="preserve">б </w:t>
      </w: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  <w:t xml:space="preserve">Управлении Росреестра по Алтайскому краю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none"/>
          <w:lang w:eastAsia="sk-SK"/>
          <w14:ligatures w14:val="none"/>
        </w:rPr>
      </w:r>
    </w:p>
    <w:p>
      <w:pPr>
        <w:pStyle w:val="97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Управление Федеральной службы государственной регистрации, кадастра и картографии по Алтайскому краю (Управление Рос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реестра по Алтайскому краю) является территориальным органом Федеральной службы государственной регистрации, кадастра и картографии (Росреестр), осуществляющим функции по государственной регистрации прав на недвижимое имущество и сделок с ним, по оказанию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государственных услуг в сфере осуществления государственного кадастрового учета недвижимого имущества, землеустройства, государственного мониторинга земель, государственной кадастровой оценке, геодезии и картографии. Выполняет функции по организации единой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системы государственного кадастрового учета и государственной регистрации прав на недвижимое имущество, инфраструктуры пространственных данных РФ. Ведомство осуществляет федеральный государственный надзор в области геодезии и картографии, государственный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земельный надзор, государственный надзор за деятельностью саморегулируемых организаций кадастровых инженеров, оценщиков и арбитражных управляющих. Подведомственное учреждение Управления - филиал ППК «Роскадастра» по Алтайскому краю. Руководитель Управления</w:t>
      </w:r>
      <w:r>
        <w:rPr>
          <w:rFonts w:ascii="Times New Roman" w:hAnsi="Times New Roman" w:eastAsia="Times New Roman" w:cs="Times New Roman"/>
          <w:color w:val="000000"/>
          <w:sz w:val="22"/>
          <w:szCs w:val="22"/>
          <w:lang w:eastAsia="en-US"/>
        </w:rPr>
        <w:t xml:space="preserve">, главный регистратор Алтайского края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– Юрий Викторович Калашников.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78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97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sk-SK"/>
        </w:rPr>
        <w:t xml:space="preserve">Контакты для СМИ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7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Пресс-секретарь Управления Росреестра по Алтайскому краю</w:t>
        <w:br/>
      </w:r>
      <w:r>
        <w:rPr>
          <w:rFonts w:ascii="Times New Roman" w:hAnsi="Times New Roman" w:eastAsia="Times New Roman" w:cs="Times New Roman"/>
          <w:sz w:val="22"/>
          <w:szCs w:val="22"/>
          <w:shd w:val="clear" w:color="auto" w:fill="ffffff"/>
        </w:rPr>
        <w:t xml:space="preserve">Бучнева Анжелика Анатольевна 8 (3852) 29 17 44, 5097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7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hyperlink r:id="rId14" w:tooltip="mailto:22press_rosreestr@mail.ru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22press_rosreestr@mail.ru</w:t>
        </w:r>
      </w:hyperlink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656002, Барнаул, ул. Советская, д. 16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7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Сайт Росреестра: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hyperlink r:id="rId15" w:tooltip="http://www.rosreestr.gov.ru/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  <w:lang w:val="en-US"/>
          </w:rPr>
          <w:t xml:space="preserve">www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  <w:lang w:val="en-US"/>
          </w:rPr>
          <w:t xml:space="preserve">rosreestr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  <w:lang w:val="en-US"/>
          </w:rPr>
          <w:t xml:space="preserve">gov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.</w:t>
        </w:r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  <w:lang w:val="en-US"/>
          </w:rPr>
          <w:t xml:space="preserve">ru</w:t>
        </w:r>
      </w:hyperlink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Яндекс-Дзен: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</w:t>
      </w:r>
      <w:hyperlink r:id="rId16" w:tooltip="https://dzen.ru/id/6392ad9bbc8b8d2fd42961a7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https://dzen.ru/id/6392ad9bbc8b8d2fd42961a7</w:t>
        </w:r>
      </w:hyperlink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tab/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78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ВКонтакте:</w:t>
      </w:r>
      <w:r>
        <w:rPr>
          <w:rFonts w:ascii="Times New Roman" w:hAnsi="Times New Roman" w:eastAsia="Times New Roman" w:cs="Times New Roman"/>
          <w:color w:val="0000ff"/>
          <w:sz w:val="22"/>
          <w:szCs w:val="22"/>
          <w:shd w:val="clear" w:color="auto" w:fill="ffffff"/>
        </w:rPr>
        <w:t xml:space="preserve"> </w:t>
      </w:r>
      <w:hyperlink r:id="rId17" w:tooltip="https://vk.com/rosreestr_altaiskii_krai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https://vk.com/rosreestr_altaiskii_krai</w:t>
        </w:r>
      </w:hyperlink>
      <w:r>
        <w:rPr>
          <w:rFonts w:ascii="Times New Roman" w:hAnsi="Times New Roman" w:eastAsia="Times New Roman" w:cs="Times New Roman"/>
          <w:color w:val="0000ff"/>
          <w:sz w:val="22"/>
          <w:szCs w:val="22"/>
          <w:shd w:val="clear" w:color="auto" w:fill="ffffff"/>
        </w:rPr>
        <w:t xml:space="preserve"> </w:t>
        <w:br/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Телеграм-канал:</w:t>
      </w:r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t xml:space="preserve"> https://web.telegram.org/k/#@rosreestr_altaiskii_krai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93"/>
        <w:jc w:val="both"/>
        <w:rPr>
          <w:rStyle w:val="751"/>
          <w:i/>
          <w:iCs/>
          <w:color w:val="000000"/>
          <w:u w:val="none"/>
          <w:shd w:val="clear" w:color="auto" w:fill="fffffe"/>
          <w:lang w:eastAsia="ru-RU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Одноклассники:</w:t>
      </w:r>
      <w:r>
        <w:rPr>
          <w:rFonts w:ascii="Times New Roman" w:hAnsi="Times New Roman" w:eastAsia="Times New Roman" w:cs="Times New Roman"/>
          <w:color w:val="0000ff"/>
          <w:sz w:val="22"/>
          <w:szCs w:val="22"/>
          <w:u w:val="single"/>
          <w:shd w:val="clear" w:color="auto" w:fill="ffffff"/>
        </w:rPr>
        <w:t xml:space="preserve"> </w:t>
      </w:r>
      <w:hyperlink r:id="rId18" w:tooltip="https://ok.ru/rosreestr22alt.krai" w:history="1">
        <w:r>
          <w:rPr>
            <w:rFonts w:ascii="Times New Roman" w:hAnsi="Times New Roman" w:eastAsia="Times New Roman" w:cs="Times New Roman"/>
            <w:color w:val="0000ff"/>
            <w:sz w:val="22"/>
            <w:szCs w:val="22"/>
            <w:u w:val="single"/>
            <w:shd w:val="clear" w:color="auto" w:fill="ffffff"/>
          </w:rPr>
          <w:t xml:space="preserve">https://ok.ru/rosreestr22alt.krai</w:t>
        </w:r>
      </w:hyperlink>
      <w:r>
        <w:rPr>
          <w:rStyle w:val="751"/>
          <w:i/>
          <w:iCs/>
          <w:color w:val="000000"/>
          <w:u w:val="none"/>
          <w:shd w:val="clear" w:color="auto" w:fill="fffffe"/>
          <w:lang w:eastAsia="ru-RU"/>
        </w:rPr>
      </w:r>
      <w:r>
        <w:rPr>
          <w:rStyle w:val="751"/>
          <w:i/>
          <w:iCs/>
          <w:color w:val="000000"/>
          <w:u w:val="none"/>
          <w:shd w:val="clear" w:color="auto" w:fill="fffffe"/>
          <w:lang w:eastAsia="ru-RU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720" w:right="720" w:bottom="720" w:left="720" w:header="0" w:footer="63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dale Sans UI">
    <w:panose1 w:val="02020603050405020304"/>
  </w:font>
  <w:font w:name="Liberation Sans">
    <w:panose1 w:val="020B0604020202020204"/>
  </w:font>
  <w:font w:name="Lucida Sans">
    <w:panose1 w:val="020B0502040504020204"/>
  </w:font>
  <w:font w:name="Calibri">
    <w:panose1 w:val="020F0502020204030204"/>
  </w:font>
  <w:font w:name="Mangal">
    <w:panose1 w:val="02040503050306020203"/>
  </w:font>
  <w:font w:name="OpenSymbol">
    <w:panose1 w:val="05010000000000000000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Tahoma">
    <w:panose1 w:val="020B0604030504040204"/>
  </w:font>
  <w:font w:name="Arial CYR">
    <w:panose1 w:val="02020603050405020304"/>
  </w:font>
  <w:font w:name="Noto Sans Devanagari">
    <w:panose1 w:val="020B0502040504020204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1"/>
      <w:rPr>
        <w:sz w:val="16"/>
        <w:szCs w:val="16"/>
      </w:rPr>
    </w:pPr>
    <w:r>
      <w:rPr>
        <w:sz w:val="16"/>
        <w:szCs w:val="16"/>
      </w:rPr>
    </w:r>
    <w:r>
      <w:rPr>
        <w:sz w:val="16"/>
        <w:szCs w:val="16"/>
      </w:rPr>
    </w:r>
    <w:r>
      <w:rPr>
        <w:sz w:val="16"/>
        <w:szCs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1"/>
      <w:rPr>
        <w:sz w:val="16"/>
        <w:szCs w:val="16"/>
      </w:rPr>
    </w:pPr>
    <w:r>
      <w:rPr>
        <w:sz w:val="16"/>
        <w:szCs w:val="16"/>
      </w:rPr>
    </w:r>
    <w:r>
      <w:rPr>
        <w:sz w:val="16"/>
        <w:szCs w:val="16"/>
      </w:rPr>
    </w:r>
    <w:r>
      <w:rPr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94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decimal"/>
      <w:pStyle w:val="695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decimal"/>
      <w:pStyle w:val="696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pStyle w:val="697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0">
    <w:name w:val="Hyperlink"/>
    <w:uiPriority w:val="99"/>
    <w:unhideWhenUsed/>
    <w:rPr>
      <w:color w:val="0000ff" w:themeColor="hyperlink"/>
      <w:u w:val="single"/>
    </w:rPr>
  </w:style>
  <w:style w:type="character" w:styleId="691">
    <w:name w:val="footnote reference"/>
    <w:basedOn w:val="747"/>
    <w:uiPriority w:val="99"/>
    <w:unhideWhenUsed/>
    <w:rPr>
      <w:vertAlign w:val="superscript"/>
    </w:rPr>
  </w:style>
  <w:style w:type="character" w:styleId="692">
    <w:name w:val="endnote reference"/>
    <w:basedOn w:val="747"/>
    <w:uiPriority w:val="99"/>
    <w:semiHidden/>
    <w:unhideWhenUsed/>
    <w:rPr>
      <w:vertAlign w:val="superscript"/>
    </w:rPr>
  </w:style>
  <w:style w:type="paragraph" w:styleId="693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00000a"/>
      <w:sz w:val="24"/>
      <w:szCs w:val="24"/>
      <w:lang w:val="ru-RU" w:eastAsia="zh-CN" w:bidi="ar-SA"/>
    </w:rPr>
  </w:style>
  <w:style w:type="paragraph" w:styleId="694">
    <w:name w:val="Heading 1"/>
    <w:basedOn w:val="796"/>
    <w:next w:val="774"/>
    <w:qFormat/>
    <w:pPr>
      <w:numPr>
        <w:ilvl w:val="0"/>
        <w:numId w:val="1"/>
      </w:numPr>
      <w:ind w:left="0" w:right="0" w:firstLine="0"/>
      <w:outlineLvl w:val="0"/>
    </w:pPr>
  </w:style>
  <w:style w:type="paragraph" w:styleId="695">
    <w:name w:val="Heading 2"/>
    <w:basedOn w:val="796"/>
    <w:next w:val="774"/>
    <w:qFormat/>
    <w:pPr>
      <w:numPr>
        <w:ilvl w:val="1"/>
        <w:numId w:val="1"/>
      </w:numPr>
      <w:ind w:left="0" w:right="0" w:firstLine="0"/>
      <w:outlineLvl w:val="1"/>
    </w:pPr>
  </w:style>
  <w:style w:type="paragraph" w:styleId="696">
    <w:name w:val="Heading 3"/>
    <w:basedOn w:val="796"/>
    <w:next w:val="774"/>
    <w:qFormat/>
    <w:pPr>
      <w:numPr>
        <w:ilvl w:val="2"/>
        <w:numId w:val="1"/>
      </w:numPr>
      <w:ind w:left="0" w:right="0" w:firstLine="0"/>
      <w:outlineLvl w:val="2"/>
    </w:pPr>
  </w:style>
  <w:style w:type="paragraph" w:styleId="697">
    <w:name w:val="Heading 4"/>
    <w:basedOn w:val="797"/>
    <w:next w:val="774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698">
    <w:name w:val="Heading 5"/>
    <w:basedOn w:val="693"/>
    <w:next w:val="693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693"/>
    <w:next w:val="693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693"/>
    <w:next w:val="693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693"/>
    <w:next w:val="693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1 Char"/>
    <w:basedOn w:val="747"/>
    <w:uiPriority w:val="9"/>
    <w:qFormat/>
    <w:rPr>
      <w:rFonts w:ascii="Arial" w:hAnsi="Arial" w:eastAsia="Arial" w:cs="Arial"/>
      <w:sz w:val="40"/>
      <w:szCs w:val="40"/>
    </w:rPr>
  </w:style>
  <w:style w:type="character" w:styleId="704">
    <w:name w:val="Heading 2 Char"/>
    <w:basedOn w:val="747"/>
    <w:uiPriority w:val="9"/>
    <w:qFormat/>
    <w:rPr>
      <w:rFonts w:ascii="Arial" w:hAnsi="Arial" w:eastAsia="Arial" w:cs="Arial"/>
      <w:sz w:val="34"/>
    </w:rPr>
  </w:style>
  <w:style w:type="character" w:styleId="705">
    <w:name w:val="Heading 3 Char"/>
    <w:basedOn w:val="747"/>
    <w:uiPriority w:val="9"/>
    <w:qFormat/>
    <w:rPr>
      <w:rFonts w:ascii="Arial" w:hAnsi="Arial" w:eastAsia="Arial" w:cs="Arial"/>
      <w:sz w:val="30"/>
      <w:szCs w:val="30"/>
    </w:rPr>
  </w:style>
  <w:style w:type="character" w:styleId="706">
    <w:name w:val="Heading 4 Char"/>
    <w:basedOn w:val="74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07">
    <w:name w:val="Heading 5 Char"/>
    <w:basedOn w:val="74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08">
    <w:name w:val="Heading 6 Char"/>
    <w:basedOn w:val="74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09">
    <w:name w:val="Heading 7 Char"/>
    <w:basedOn w:val="74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8 Char"/>
    <w:basedOn w:val="74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11">
    <w:name w:val="Heading 9 Char"/>
    <w:basedOn w:val="74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747"/>
    <w:uiPriority w:val="10"/>
    <w:qFormat/>
    <w:rPr>
      <w:sz w:val="48"/>
      <w:szCs w:val="48"/>
    </w:rPr>
  </w:style>
  <w:style w:type="character" w:styleId="713">
    <w:name w:val="Subtitle Char"/>
    <w:basedOn w:val="747"/>
    <w:uiPriority w:val="11"/>
    <w:qFormat/>
    <w:rPr>
      <w:sz w:val="24"/>
      <w:szCs w:val="24"/>
    </w:rPr>
  </w:style>
  <w:style w:type="character" w:styleId="714">
    <w:name w:val="Quote Char"/>
    <w:link w:val="781"/>
    <w:uiPriority w:val="29"/>
    <w:qFormat/>
    <w:rPr>
      <w:i/>
    </w:rPr>
  </w:style>
  <w:style w:type="character" w:styleId="715">
    <w:name w:val="Intense Quote Char"/>
    <w:link w:val="782"/>
    <w:uiPriority w:val="30"/>
    <w:qFormat/>
    <w:rPr>
      <w:i/>
    </w:rPr>
  </w:style>
  <w:style w:type="character" w:styleId="716">
    <w:name w:val="Header Char"/>
    <w:basedOn w:val="747"/>
    <w:uiPriority w:val="99"/>
    <w:qFormat/>
  </w:style>
  <w:style w:type="character" w:styleId="717">
    <w:name w:val="Footer Char"/>
    <w:basedOn w:val="747"/>
    <w:uiPriority w:val="99"/>
    <w:qFormat/>
  </w:style>
  <w:style w:type="character" w:styleId="718">
    <w:name w:val="Caption Char"/>
    <w:basedOn w:val="747"/>
    <w:link w:val="776"/>
    <w:uiPriority w:val="35"/>
    <w:qFormat/>
    <w:rPr>
      <w:b/>
      <w:bCs/>
      <w:color w:val="4f81bd" w:themeColor="accent1"/>
      <w:sz w:val="18"/>
      <w:szCs w:val="18"/>
    </w:rPr>
  </w:style>
  <w:style w:type="character" w:styleId="719">
    <w:name w:val="Footnote Text Char"/>
    <w:uiPriority w:val="99"/>
    <w:qFormat/>
    <w:rPr>
      <w:sz w:val="18"/>
    </w:rPr>
  </w:style>
  <w:style w:type="character" w:styleId="720">
    <w:name w:val="Endnote Text Char"/>
    <w:uiPriority w:val="99"/>
    <w:qFormat/>
    <w:rPr>
      <w:sz w:val="20"/>
    </w:rPr>
  </w:style>
  <w:style w:type="character" w:styleId="721">
    <w:name w:val="Endnote Characters"/>
    <w:basedOn w:val="747"/>
    <w:qFormat/>
    <w:rPr>
      <w:vertAlign w:val="superscript"/>
    </w:rPr>
  </w:style>
  <w:style w:type="character" w:styleId="722">
    <w:name w:val="Привязка концевой сноски"/>
    <w:qFormat/>
    <w:rPr>
      <w:vertAlign w:val="superscript"/>
    </w:rPr>
  </w:style>
  <w:style w:type="character" w:styleId="723">
    <w:name w:val="Основной шрифт абзаца"/>
    <w:qFormat/>
  </w:style>
  <w:style w:type="character" w:styleId="724">
    <w:name w:val="Основной шрифт абзаца5"/>
    <w:qFormat/>
  </w:style>
  <w:style w:type="character" w:styleId="725">
    <w:name w:val="WW8Num1z0"/>
    <w:qFormat/>
  </w:style>
  <w:style w:type="character" w:styleId="726">
    <w:name w:val="WW8Num1z1"/>
    <w:qFormat/>
  </w:style>
  <w:style w:type="character" w:styleId="727">
    <w:name w:val="WW8Num1z2"/>
    <w:qFormat/>
  </w:style>
  <w:style w:type="character" w:styleId="728">
    <w:name w:val="WW8Num1z3"/>
    <w:qFormat/>
  </w:style>
  <w:style w:type="character" w:styleId="729">
    <w:name w:val="WW8Num1z4"/>
    <w:qFormat/>
  </w:style>
  <w:style w:type="character" w:styleId="730">
    <w:name w:val="WW8Num1z5"/>
    <w:qFormat/>
  </w:style>
  <w:style w:type="character" w:styleId="731">
    <w:name w:val="WW8Num1z6"/>
    <w:qFormat/>
  </w:style>
  <w:style w:type="character" w:styleId="732">
    <w:name w:val="WW8Num1z7"/>
    <w:qFormat/>
  </w:style>
  <w:style w:type="character" w:styleId="733">
    <w:name w:val="WW8Num1z8"/>
    <w:qFormat/>
  </w:style>
  <w:style w:type="character" w:styleId="734">
    <w:name w:val="Основной шрифт абзаца4"/>
    <w:qFormat/>
  </w:style>
  <w:style w:type="character" w:styleId="735">
    <w:name w:val="Основной шрифт абзаца3"/>
    <w:qFormat/>
  </w:style>
  <w:style w:type="character" w:styleId="736">
    <w:name w:val="Основной шрифт абзаца2"/>
    <w:qFormat/>
  </w:style>
  <w:style w:type="character" w:styleId="737">
    <w:name w:val="WW8Num2z0"/>
    <w:qFormat/>
  </w:style>
  <w:style w:type="character" w:styleId="738">
    <w:name w:val="WW8Num2z1"/>
    <w:qFormat/>
  </w:style>
  <w:style w:type="character" w:styleId="739">
    <w:name w:val="WW8Num2z2"/>
    <w:qFormat/>
  </w:style>
  <w:style w:type="character" w:styleId="740">
    <w:name w:val="WW8Num2z3"/>
    <w:qFormat/>
  </w:style>
  <w:style w:type="character" w:styleId="741">
    <w:name w:val="WW8Num2z4"/>
    <w:qFormat/>
  </w:style>
  <w:style w:type="character" w:styleId="742">
    <w:name w:val="WW8Num2z5"/>
    <w:qFormat/>
  </w:style>
  <w:style w:type="character" w:styleId="743">
    <w:name w:val="WW8Num2z6"/>
    <w:qFormat/>
  </w:style>
  <w:style w:type="character" w:styleId="744">
    <w:name w:val="WW8Num2z7"/>
    <w:qFormat/>
  </w:style>
  <w:style w:type="character" w:styleId="745">
    <w:name w:val="WW8Num2z8"/>
    <w:qFormat/>
  </w:style>
  <w:style w:type="character" w:styleId="746">
    <w:name w:val="Основной шрифт абзаца1"/>
    <w:qFormat/>
  </w:style>
  <w:style w:type="character" w:styleId="747" w:default="1">
    <w:name w:val="Default Paragraph Font"/>
    <w:qFormat/>
  </w:style>
  <w:style w:type="character" w:styleId="748">
    <w:name w:val="ConsNonformat Знак"/>
    <w:qFormat/>
    <w:rPr>
      <w:rFonts w:ascii="Courier New" w:hAnsi="Courier New" w:cs="Courier New"/>
      <w:sz w:val="26"/>
      <w:szCs w:val="26"/>
      <w:lang w:val="ru-RU" w:bidi="ar-SA"/>
    </w:rPr>
  </w:style>
  <w:style w:type="character" w:styleId="749">
    <w:name w:val="Основной текст (4)_"/>
    <w:qFormat/>
    <w:rPr>
      <w:b/>
      <w:bCs/>
      <w:sz w:val="24"/>
      <w:szCs w:val="24"/>
      <w:lang w:bidi="ar-SA"/>
    </w:rPr>
  </w:style>
  <w:style w:type="character" w:styleId="750">
    <w:name w:val="Выделение"/>
    <w:qFormat/>
    <w:rPr>
      <w:rFonts w:cs="Times New Roman"/>
      <w:i/>
      <w:iCs/>
    </w:rPr>
  </w:style>
  <w:style w:type="character" w:styleId="751">
    <w:name w:val="Интернет-ссылка"/>
    <w:qFormat/>
    <w:rPr>
      <w:color w:val="0000ff"/>
      <w:u w:val="single"/>
    </w:rPr>
  </w:style>
  <w:style w:type="character" w:styleId="752">
    <w:name w:val="Нижний колонтитул Знак"/>
    <w:qFormat/>
    <w:rPr>
      <w:sz w:val="24"/>
      <w:szCs w:val="24"/>
      <w:lang w:val="ru-RU" w:bidi="ar-SA"/>
    </w:rPr>
  </w:style>
  <w:style w:type="character" w:styleId="753">
    <w:name w:val="Верхний колонтитул Знак"/>
    <w:qFormat/>
    <w:rPr>
      <w:sz w:val="24"/>
      <w:szCs w:val="24"/>
    </w:rPr>
  </w:style>
  <w:style w:type="character" w:styleId="754">
    <w:name w:val="Текст выноски Знак"/>
    <w:qFormat/>
    <w:rPr>
      <w:rFonts w:ascii="Tahoma" w:hAnsi="Tahoma" w:cs="Tahoma"/>
      <w:sz w:val="16"/>
      <w:szCs w:val="16"/>
    </w:rPr>
  </w:style>
  <w:style w:type="character" w:styleId="755">
    <w:name w:val="apple-converted-space"/>
    <w:basedOn w:val="747"/>
    <w:qFormat/>
  </w:style>
  <w:style w:type="character" w:styleId="756">
    <w:name w:val="Текст сноски Знак"/>
    <w:qFormat/>
    <w:rPr>
      <w:rFonts w:ascii="Calibri" w:hAnsi="Calibri" w:eastAsia="Calibri" w:cs="Times New Roman"/>
    </w:rPr>
  </w:style>
  <w:style w:type="character" w:styleId="757">
    <w:name w:val="Footnote Characters"/>
    <w:qFormat/>
    <w:rPr>
      <w:vertAlign w:val="superscript"/>
    </w:rPr>
  </w:style>
  <w:style w:type="character" w:styleId="758">
    <w:name w:val="Привязка сноски"/>
    <w:qFormat/>
    <w:rPr>
      <w:vertAlign w:val="superscript"/>
    </w:rPr>
  </w:style>
  <w:style w:type="character" w:styleId="759">
    <w:name w:val="apple-style-span"/>
    <w:basedOn w:val="747"/>
    <w:qFormat/>
  </w:style>
  <w:style w:type="character" w:styleId="760">
    <w:name w:val="Strong1"/>
    <w:qFormat/>
    <w:rPr>
      <w:b/>
      <w:bCs/>
    </w:rPr>
  </w:style>
  <w:style w:type="character" w:styleId="761">
    <w:name w:val="Основной текст (8)"/>
    <w:qFormat/>
    <w:rPr>
      <w:spacing w:val="4"/>
      <w:sz w:val="28"/>
      <w:u w:val="single"/>
    </w:rPr>
  </w:style>
  <w:style w:type="character" w:styleId="762">
    <w:name w:val="Посещённая гиперссылка"/>
    <w:qFormat/>
    <w:rPr>
      <w:color w:val="800000"/>
      <w:u w:val="single"/>
    </w:rPr>
  </w:style>
  <w:style w:type="character" w:styleId="763">
    <w:name w:val="Символ нумерации"/>
    <w:qFormat/>
  </w:style>
  <w:style w:type="character" w:styleId="764">
    <w:name w:val="Strong"/>
    <w:qFormat/>
    <w:rPr>
      <w:b/>
      <w:bCs/>
    </w:rPr>
  </w:style>
  <w:style w:type="character" w:styleId="765">
    <w:name w:val="Маркеры списка"/>
    <w:qFormat/>
    <w:rPr>
      <w:rFonts w:ascii="OpenSymbol" w:hAnsi="OpenSymbol" w:eastAsia="OpenSymbol" w:cs="OpenSymbol"/>
    </w:rPr>
  </w:style>
  <w:style w:type="character" w:styleId="766">
    <w:name w:val="Символ сноски"/>
    <w:qFormat/>
  </w:style>
  <w:style w:type="character" w:styleId="767">
    <w:name w:val="Знак сноски1"/>
    <w:qFormat/>
    <w:rPr>
      <w:vertAlign w:val="superscript"/>
    </w:rPr>
  </w:style>
  <w:style w:type="character" w:styleId="768">
    <w:name w:val="Символы концевой сноски"/>
    <w:qFormat/>
    <w:rPr>
      <w:vertAlign w:val="superscript"/>
    </w:rPr>
  </w:style>
  <w:style w:type="character" w:styleId="769">
    <w:name w:val="WW-Символы концевой сноски"/>
    <w:qFormat/>
  </w:style>
  <w:style w:type="character" w:styleId="770">
    <w:name w:val="Символ концевой сноски"/>
    <w:qFormat/>
    <w:rPr>
      <w:vertAlign w:val="superscript"/>
    </w:rPr>
  </w:style>
  <w:style w:type="character" w:styleId="771">
    <w:name w:val="Знак концевой сноски1"/>
    <w:qFormat/>
    <w:rPr>
      <w:vertAlign w:val="superscript"/>
    </w:rPr>
  </w:style>
  <w:style w:type="character" w:styleId="772">
    <w:name w:val="Маркеры"/>
    <w:qFormat/>
    <w:rPr>
      <w:rFonts w:ascii="OpenSymbol" w:hAnsi="OpenSymbol" w:eastAsia="OpenSymbol" w:cs="OpenSymbol"/>
    </w:rPr>
  </w:style>
  <w:style w:type="paragraph" w:styleId="773">
    <w:name w:val="Heading"/>
    <w:basedOn w:val="693"/>
    <w:next w:val="774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74">
    <w:name w:val="Body Text"/>
    <w:basedOn w:val="693"/>
    <w:pPr>
      <w:spacing w:before="0" w:after="140" w:line="288" w:lineRule="auto"/>
    </w:pPr>
  </w:style>
  <w:style w:type="paragraph" w:styleId="775">
    <w:name w:val="List"/>
    <w:basedOn w:val="774"/>
    <w:rPr>
      <w:rFonts w:cs="Mangal"/>
    </w:rPr>
  </w:style>
  <w:style w:type="paragraph" w:styleId="776">
    <w:name w:val="Caption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777">
    <w:name w:val="Index"/>
    <w:basedOn w:val="693"/>
    <w:qFormat/>
    <w:pPr>
      <w:suppressLineNumbers/>
    </w:pPr>
    <w:rPr>
      <w:rFonts w:ascii="PT Astra Serif" w:hAnsi="PT Astra Serif" w:cs="Noto Sans Devanagari"/>
    </w:rPr>
  </w:style>
  <w:style w:type="paragraph" w:styleId="778">
    <w:name w:val="Заголовок"/>
    <w:basedOn w:val="693"/>
    <w:next w:val="774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79">
    <w:name w:val="Указатель"/>
    <w:basedOn w:val="693"/>
    <w:qFormat/>
    <w:pPr>
      <w:suppressLineNumbers/>
    </w:pPr>
    <w:rPr>
      <w:rFonts w:cs="Mangal"/>
      <w:lang w:val="en-US" w:eastAsia="en-US" w:bidi="en-US"/>
    </w:rPr>
  </w:style>
  <w:style w:type="paragraph" w:styleId="780">
    <w:name w:val="Title"/>
    <w:basedOn w:val="693"/>
    <w:next w:val="693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81">
    <w:name w:val="Quote"/>
    <w:basedOn w:val="693"/>
    <w:next w:val="693"/>
    <w:link w:val="714"/>
    <w:uiPriority w:val="29"/>
    <w:qFormat/>
    <w:pPr>
      <w:ind w:left="720" w:right="720" w:firstLine="0"/>
    </w:pPr>
    <w:rPr>
      <w:i/>
    </w:rPr>
  </w:style>
  <w:style w:type="paragraph" w:styleId="782">
    <w:name w:val="Intense Quote"/>
    <w:basedOn w:val="693"/>
    <w:next w:val="693"/>
    <w:link w:val="715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83">
    <w:name w:val="endnote text"/>
    <w:basedOn w:val="693"/>
    <w:link w:val="72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84">
    <w:name w:val="toc 1"/>
    <w:basedOn w:val="693"/>
    <w:next w:val="693"/>
    <w:uiPriority w:val="39"/>
    <w:unhideWhenUsed/>
    <w:pPr>
      <w:ind w:left="0" w:right="0" w:firstLine="0"/>
      <w:spacing w:before="0" w:after="57"/>
    </w:pPr>
  </w:style>
  <w:style w:type="paragraph" w:styleId="785">
    <w:name w:val="toc 2"/>
    <w:basedOn w:val="693"/>
    <w:next w:val="693"/>
    <w:uiPriority w:val="39"/>
    <w:unhideWhenUsed/>
    <w:pPr>
      <w:ind w:left="283" w:right="0" w:firstLine="0"/>
      <w:spacing w:before="0" w:after="57"/>
    </w:pPr>
  </w:style>
  <w:style w:type="paragraph" w:styleId="786">
    <w:name w:val="toc 3"/>
    <w:basedOn w:val="693"/>
    <w:next w:val="693"/>
    <w:uiPriority w:val="39"/>
    <w:unhideWhenUsed/>
    <w:pPr>
      <w:ind w:left="567" w:right="0" w:firstLine="0"/>
      <w:spacing w:before="0" w:after="57"/>
    </w:pPr>
  </w:style>
  <w:style w:type="paragraph" w:styleId="787">
    <w:name w:val="toc 4"/>
    <w:basedOn w:val="693"/>
    <w:next w:val="693"/>
    <w:uiPriority w:val="39"/>
    <w:unhideWhenUsed/>
    <w:pPr>
      <w:ind w:left="850" w:right="0" w:firstLine="0"/>
      <w:spacing w:before="0" w:after="57"/>
    </w:pPr>
  </w:style>
  <w:style w:type="paragraph" w:styleId="788">
    <w:name w:val="toc 5"/>
    <w:basedOn w:val="693"/>
    <w:next w:val="693"/>
    <w:uiPriority w:val="39"/>
    <w:unhideWhenUsed/>
    <w:pPr>
      <w:ind w:left="1134" w:right="0" w:firstLine="0"/>
      <w:spacing w:before="0" w:after="57"/>
    </w:pPr>
  </w:style>
  <w:style w:type="paragraph" w:styleId="789">
    <w:name w:val="toc 6"/>
    <w:basedOn w:val="693"/>
    <w:next w:val="693"/>
    <w:uiPriority w:val="39"/>
    <w:unhideWhenUsed/>
    <w:pPr>
      <w:ind w:left="1417" w:right="0" w:firstLine="0"/>
      <w:spacing w:before="0" w:after="57"/>
    </w:pPr>
  </w:style>
  <w:style w:type="paragraph" w:styleId="790">
    <w:name w:val="toc 7"/>
    <w:basedOn w:val="693"/>
    <w:next w:val="693"/>
    <w:uiPriority w:val="39"/>
    <w:unhideWhenUsed/>
    <w:pPr>
      <w:ind w:left="1701" w:right="0" w:firstLine="0"/>
      <w:spacing w:before="0" w:after="57"/>
    </w:pPr>
  </w:style>
  <w:style w:type="paragraph" w:styleId="791">
    <w:name w:val="toc 8"/>
    <w:basedOn w:val="693"/>
    <w:next w:val="693"/>
    <w:uiPriority w:val="39"/>
    <w:unhideWhenUsed/>
    <w:pPr>
      <w:ind w:left="1984" w:right="0" w:firstLine="0"/>
      <w:spacing w:before="0" w:after="57"/>
    </w:pPr>
  </w:style>
  <w:style w:type="paragraph" w:styleId="792">
    <w:name w:val="toc 9"/>
    <w:basedOn w:val="693"/>
    <w:next w:val="693"/>
    <w:uiPriority w:val="39"/>
    <w:unhideWhenUsed/>
    <w:pPr>
      <w:ind w:left="2268" w:right="0" w:firstLine="0"/>
      <w:spacing w:before="0" w:after="57"/>
    </w:pPr>
  </w:style>
  <w:style w:type="paragraph" w:styleId="793">
    <w:name w:val="index heading"/>
    <w:basedOn w:val="778"/>
    <w:qFormat/>
  </w:style>
  <w:style w:type="paragraph" w:styleId="794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hi-IN"/>
    </w:rPr>
  </w:style>
  <w:style w:type="paragraph" w:styleId="795">
    <w:name w:val="table of figures"/>
    <w:basedOn w:val="693"/>
    <w:next w:val="693"/>
    <w:uiPriority w:val="99"/>
    <w:unhideWhenUsed/>
    <w:qFormat/>
    <w:pPr>
      <w:spacing w:before="0" w:after="0" w:afterAutospacing="0"/>
    </w:pPr>
  </w:style>
  <w:style w:type="paragraph" w:styleId="796">
    <w:name w:val="Заголовок1"/>
    <w:basedOn w:val="693"/>
    <w:next w:val="774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797">
    <w:name w:val="Заголовок2"/>
    <w:basedOn w:val="796"/>
    <w:next w:val="774"/>
    <w:qFormat/>
  </w:style>
  <w:style w:type="paragraph" w:styleId="798">
    <w:name w:val="caption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799">
    <w:name w:val="Название объекта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00">
    <w:name w:val="Указатель6"/>
    <w:basedOn w:val="693"/>
    <w:qFormat/>
    <w:pPr>
      <w:suppressLineNumbers/>
    </w:pPr>
    <w:rPr>
      <w:rFonts w:ascii="PT Astra Serif" w:hAnsi="PT Astra Serif" w:cs="Noto Sans Devanagari"/>
    </w:rPr>
  </w:style>
  <w:style w:type="paragraph" w:styleId="801">
    <w:name w:val="Caption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02">
    <w:name w:val="Caption111"/>
    <w:basedOn w:val="693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03">
    <w:name w:val="Caption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04">
    <w:name w:val="Caption1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05">
    <w:name w:val="Caption11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06">
    <w:name w:val="Caption1111111"/>
    <w:basedOn w:val="693"/>
    <w:qFormat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807">
    <w:name w:val="Caption1111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08">
    <w:name w:val="Caption111111111"/>
    <w:basedOn w:val="693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09">
    <w:name w:val="Caption111111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10">
    <w:name w:val="Caption1111111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11">
    <w:name w:val="Caption11111111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12">
    <w:name w:val="Caption111111111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13">
    <w:name w:val="Caption1111111111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14">
    <w:name w:val="Caption111111111111111"/>
    <w:basedOn w:val="693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815">
    <w:name w:val="Caption1111111111111111"/>
    <w:basedOn w:val="693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16">
    <w:name w:val="Caption11111111111111111"/>
    <w:basedOn w:val="797"/>
    <w:next w:val="774"/>
    <w:qFormat/>
    <w:pPr>
      <w:jc w:val="center"/>
    </w:pPr>
    <w:rPr>
      <w:b/>
      <w:bCs/>
      <w:sz w:val="56"/>
      <w:szCs w:val="56"/>
    </w:rPr>
  </w:style>
  <w:style w:type="paragraph" w:styleId="817">
    <w:name w:val="Название объекта4"/>
    <w:basedOn w:val="797"/>
    <w:next w:val="774"/>
    <w:qFormat/>
    <w:pPr>
      <w:jc w:val="center"/>
    </w:pPr>
    <w:rPr>
      <w:b/>
      <w:bCs/>
      <w:sz w:val="56"/>
      <w:szCs w:val="56"/>
    </w:rPr>
  </w:style>
  <w:style w:type="paragraph" w:styleId="818">
    <w:name w:val="Указатель4"/>
    <w:basedOn w:val="693"/>
    <w:qFormat/>
    <w:pPr>
      <w:suppressLineNumbers/>
    </w:pPr>
    <w:rPr>
      <w:rFonts w:cs="Mangal"/>
    </w:rPr>
  </w:style>
  <w:style w:type="paragraph" w:styleId="819">
    <w:name w:val="Название объекта3"/>
    <w:basedOn w:val="797"/>
    <w:next w:val="774"/>
    <w:qFormat/>
    <w:pPr>
      <w:jc w:val="center"/>
    </w:pPr>
    <w:rPr>
      <w:b/>
      <w:bCs/>
      <w:sz w:val="56"/>
      <w:szCs w:val="56"/>
    </w:rPr>
  </w:style>
  <w:style w:type="paragraph" w:styleId="820">
    <w:name w:val="Указатель3"/>
    <w:basedOn w:val="693"/>
    <w:qFormat/>
    <w:pPr>
      <w:suppressLineNumbers/>
    </w:pPr>
    <w:rPr>
      <w:rFonts w:ascii="Times New Roman" w:hAnsi="Times New Roman" w:cs="Mangal"/>
    </w:rPr>
  </w:style>
  <w:style w:type="paragraph" w:styleId="821">
    <w:name w:val="Название объекта2"/>
    <w:basedOn w:val="693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22">
    <w:name w:val="Указатель2"/>
    <w:basedOn w:val="693"/>
    <w:qFormat/>
    <w:pPr>
      <w:suppressLineNumbers/>
    </w:pPr>
    <w:rPr>
      <w:rFonts w:cs="Mangal"/>
    </w:rPr>
  </w:style>
  <w:style w:type="paragraph" w:styleId="823">
    <w:name w:val="Название объекта1"/>
    <w:basedOn w:val="693"/>
    <w:qFormat/>
    <w:pPr>
      <w:spacing w:before="120" w:after="120"/>
      <w:suppressLineNumbers/>
    </w:pPr>
    <w:rPr>
      <w:rFonts w:ascii="Times New Roman" w:hAnsi="Times New Roman" w:cs="Mangal"/>
      <w:i/>
      <w:iCs/>
      <w:sz w:val="24"/>
      <w:szCs w:val="24"/>
    </w:rPr>
  </w:style>
  <w:style w:type="paragraph" w:styleId="824">
    <w:name w:val="Указатель1"/>
    <w:basedOn w:val="693"/>
    <w:qFormat/>
    <w:pPr>
      <w:suppressLineNumbers/>
    </w:pPr>
    <w:rPr>
      <w:rFonts w:ascii="Times New Roman" w:hAnsi="Times New Roman" w:cs="Mangal"/>
    </w:rPr>
  </w:style>
  <w:style w:type="paragraph" w:styleId="825">
    <w:name w:val="ConsNonformat"/>
    <w:qFormat/>
    <w:pPr>
      <w:jc w:val="left"/>
      <w:spacing w:before="0" w:after="0"/>
      <w:widowControl w:val="off"/>
    </w:pPr>
    <w:rPr>
      <w:rFonts w:ascii="Courier New" w:hAnsi="Courier New" w:eastAsia="Times New Roman" w:cs="Courier New"/>
      <w:color w:val="00000a"/>
      <w:sz w:val="26"/>
      <w:szCs w:val="26"/>
      <w:lang w:val="ru-RU" w:eastAsia="zh-CN" w:bidi="ar-SA"/>
    </w:rPr>
  </w:style>
  <w:style w:type="paragraph" w:styleId="826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Times New Roman" w:cs="Arial"/>
      <w:color w:val="00000a"/>
      <w:sz w:val="24"/>
      <w:szCs w:val="20"/>
      <w:lang w:val="ru-RU" w:eastAsia="zh-CN" w:bidi="ar-SA"/>
    </w:rPr>
  </w:style>
  <w:style w:type="paragraph" w:styleId="827">
    <w:name w:val="Основной текст (4)"/>
    <w:basedOn w:val="693"/>
    <w:qFormat/>
    <w:pPr>
      <w:jc w:val="right"/>
      <w:spacing w:line="302" w:lineRule="exact"/>
    </w:pPr>
    <w:rPr>
      <w:b/>
      <w:bCs/>
    </w:rPr>
  </w:style>
  <w:style w:type="paragraph" w:styleId="828">
    <w:name w:val="Верхний и нижний колонтитулы"/>
    <w:basedOn w:val="693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29">
    <w:name w:val="Колонтитул"/>
    <w:basedOn w:val="693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30">
    <w:name w:val="Header and Footer"/>
    <w:basedOn w:val="693"/>
    <w:qFormat/>
  </w:style>
  <w:style w:type="paragraph" w:styleId="831">
    <w:name w:val="Footer"/>
    <w:basedOn w:val="693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32">
    <w:name w:val="ConsPlusTitle"/>
    <w:qFormat/>
    <w:pPr>
      <w:jc w:val="left"/>
      <w:spacing w:before="0" w:after="0"/>
      <w:widowControl w:val="off"/>
    </w:pPr>
    <w:rPr>
      <w:rFonts w:ascii="Arial CYR" w:hAnsi="Arial CYR" w:eastAsia="Times New Roman" w:cs="Arial CYR"/>
      <w:b/>
      <w:bCs/>
      <w:color w:val="00000a"/>
      <w:sz w:val="24"/>
      <w:szCs w:val="20"/>
      <w:lang w:val="ru-RU" w:eastAsia="zh-CN" w:bidi="ar-SA"/>
    </w:rPr>
  </w:style>
  <w:style w:type="paragraph" w:styleId="833">
    <w:name w:val="Header"/>
    <w:basedOn w:val="693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34">
    <w:name w:val="Balloon Text"/>
    <w:basedOn w:val="693"/>
    <w:qFormat/>
    <w:rPr>
      <w:rFonts w:ascii="Tahoma" w:hAnsi="Tahoma" w:cs="Tahoma"/>
      <w:sz w:val="16"/>
      <w:szCs w:val="16"/>
    </w:rPr>
  </w:style>
  <w:style w:type="paragraph" w:styleId="835">
    <w:name w:val="Normal (Web)"/>
    <w:basedOn w:val="693"/>
    <w:qFormat/>
    <w:pPr>
      <w:spacing w:before="280" w:after="280"/>
    </w:pPr>
  </w:style>
  <w:style w:type="paragraph" w:styleId="836">
    <w:name w:val="List Paragraph"/>
    <w:basedOn w:val="693"/>
    <w:qFormat/>
    <w:pPr>
      <w:contextualSpacing/>
      <w:ind w:left="720" w:right="0" w:firstLine="0"/>
      <w:spacing w:before="0" w:after="200" w:line="276" w:lineRule="auto"/>
    </w:pPr>
    <w:rPr>
      <w:rFonts w:ascii="Calibri" w:hAnsi="Calibri" w:eastAsia="Times New Roman" w:cs="Times New Roman"/>
      <w:sz w:val="22"/>
      <w:szCs w:val="22"/>
    </w:rPr>
  </w:style>
  <w:style w:type="paragraph" w:styleId="837">
    <w:name w:val="footnote text1"/>
    <w:basedOn w:val="693"/>
    <w:qFormat/>
    <w:rPr>
      <w:rFonts w:ascii="Calibri" w:hAnsi="Calibri" w:eastAsia="Calibri" w:cs="Times New Roman"/>
      <w:sz w:val="20"/>
      <w:szCs w:val="20"/>
    </w:rPr>
  </w:style>
  <w:style w:type="paragraph" w:styleId="838">
    <w:name w:val="Default"/>
    <w:qFormat/>
    <w:pPr>
      <w:jc w:val="left"/>
      <w:spacing w:before="0" w:after="0"/>
      <w:widowControl/>
    </w:pPr>
    <w:rPr>
      <w:rFonts w:ascii="Arial" w:hAnsi="Arial" w:eastAsia="Calibri" w:cs="Arial"/>
      <w:color w:val="000000"/>
      <w:sz w:val="24"/>
      <w:szCs w:val="24"/>
      <w:lang w:val="ru-RU" w:eastAsia="zh-CN" w:bidi="ar-SA"/>
    </w:rPr>
  </w:style>
  <w:style w:type="paragraph" w:styleId="839">
    <w:name w:val="rtejustify"/>
    <w:basedOn w:val="693"/>
    <w:qFormat/>
    <w:pPr>
      <w:jc w:val="both"/>
      <w:spacing w:before="0" w:after="288"/>
    </w:pPr>
  </w:style>
  <w:style w:type="paragraph" w:styleId="840">
    <w:name w:val="Цитата1"/>
    <w:basedOn w:val="693"/>
    <w:qFormat/>
  </w:style>
  <w:style w:type="paragraph" w:styleId="841">
    <w:name w:val="Subtitle"/>
    <w:basedOn w:val="796"/>
    <w:next w:val="774"/>
    <w:qFormat/>
  </w:style>
  <w:style w:type="paragraph" w:styleId="842">
    <w:name w:val="Содержимое таблицы"/>
    <w:basedOn w:val="693"/>
    <w:qFormat/>
  </w:style>
  <w:style w:type="paragraph" w:styleId="843">
    <w:name w:val="Основной текст3"/>
    <w:basedOn w:val="693"/>
    <w:qFormat/>
    <w:pPr>
      <w:ind w:left="0" w:right="0" w:firstLine="0"/>
      <w:spacing w:line="322" w:lineRule="exact"/>
    </w:pPr>
  </w:style>
  <w:style w:type="paragraph" w:styleId="844">
    <w:name w:val="western"/>
    <w:basedOn w:val="693"/>
    <w:qFormat/>
    <w:pPr>
      <w:spacing w:before="280" w:after="142" w:line="288" w:lineRule="auto"/>
    </w:pPr>
    <w:rPr>
      <w:lang w:eastAsia="zh-CN"/>
    </w:rPr>
  </w:style>
  <w:style w:type="paragraph" w:styleId="845">
    <w:name w:val="Заголовок таблицы"/>
    <w:basedOn w:val="842"/>
    <w:qFormat/>
    <w:pPr>
      <w:jc w:val="center"/>
      <w:suppressLineNumbers/>
    </w:pPr>
    <w:rPr>
      <w:b/>
      <w:bCs/>
    </w:rPr>
  </w:style>
  <w:style w:type="paragraph" w:styleId="846">
    <w:name w:val="Блочная цитата"/>
    <w:basedOn w:val="693"/>
    <w:qFormat/>
    <w:pPr>
      <w:ind w:left="567" w:right="567" w:firstLine="0"/>
      <w:spacing w:before="0" w:after="283"/>
    </w:pPr>
  </w:style>
  <w:style w:type="paragraph" w:styleId="847">
    <w:name w:val="No Spacing"/>
    <w:qFormat/>
    <w:pPr>
      <w:jc w:val="left"/>
      <w:spacing w:before="0" w:after="0"/>
      <w:widowControl/>
    </w:pPr>
    <w:rPr>
      <w:rFonts w:ascii="Calibri" w:hAnsi="Calibri" w:eastAsia="Calibri" w:cs="Calibri"/>
      <w:color w:val="00000a"/>
      <w:sz w:val="22"/>
      <w:szCs w:val="22"/>
      <w:lang w:val="ru-RU" w:eastAsia="zh-CN" w:bidi="ar-SA"/>
    </w:rPr>
  </w:style>
  <w:style w:type="paragraph" w:styleId="848">
    <w:name w:val="footnote text"/>
    <w:basedOn w:val="693"/>
    <w:pPr>
      <w:ind w:left="339" w:right="0" w:hanging="339"/>
      <w:suppressLineNumbers/>
    </w:pPr>
    <w:rPr>
      <w:sz w:val="20"/>
      <w:szCs w:val="20"/>
    </w:rPr>
  </w:style>
  <w:style w:type="numbering" w:styleId="849" w:default="1">
    <w:name w:val="No List"/>
    <w:uiPriority w:val="99"/>
    <w:semiHidden/>
    <w:unhideWhenUsed/>
    <w:qFormat/>
  </w:style>
  <w:style w:type="table" w:styleId="850">
    <w:name w:val="Table Grid"/>
    <w:basedOn w:val="97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1">
    <w:name w:val="Table Grid Light"/>
    <w:basedOn w:val="97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2">
    <w:name w:val="Plain Table 1"/>
    <w:basedOn w:val="97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3">
    <w:name w:val="Plain Table 2"/>
    <w:basedOn w:val="97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54">
    <w:name w:val="Plain Table 3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55">
    <w:name w:val="Plain Table 4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56">
    <w:name w:val="Plain Table 5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7">
    <w:name w:val="Grid Table 1 Light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8">
    <w:name w:val="Grid Table 1 Light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9">
    <w:name w:val="Grid Table 1 Light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0">
    <w:name w:val="Grid Table 1 Light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1">
    <w:name w:val="Grid Table 1 Light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2">
    <w:name w:val="Grid Table 1 Light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3">
    <w:name w:val="Grid Table 1 Light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64">
    <w:name w:val="Grid Table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2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2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2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2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2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2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3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3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3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3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3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3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4"/>
    <w:basedOn w:val="9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79">
    <w:name w:val="Grid Table 4 - Accent 1"/>
    <w:basedOn w:val="9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80">
    <w:name w:val="Grid Table 4 - Accent 2"/>
    <w:basedOn w:val="9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81">
    <w:name w:val="Grid Table 4 - Accent 3"/>
    <w:basedOn w:val="9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82">
    <w:name w:val="Grid Table 4 - Accent 4"/>
    <w:basedOn w:val="9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83">
    <w:name w:val="Grid Table 4 - Accent 5"/>
    <w:basedOn w:val="9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84">
    <w:name w:val="Grid Table 4 - Accent 6"/>
    <w:basedOn w:val="97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85">
    <w:name w:val="Grid Table 5 Dark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86">
    <w:name w:val="Grid Table 5 Dark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87">
    <w:name w:val="Grid Table 5 Dark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88">
    <w:name w:val="Grid Table 5 Dark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89">
    <w:name w:val="Grid Table 5 Dark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90">
    <w:name w:val="Grid Table 5 Dark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91">
    <w:name w:val="Grid Table 5 Dark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92">
    <w:name w:val="Grid Table 6 Colorful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93">
    <w:name w:val="Grid Table 6 Colorful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94">
    <w:name w:val="Grid Table 6 Colorful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95">
    <w:name w:val="Grid Table 6 Colorful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96">
    <w:name w:val="Grid Table 6 Colorful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97">
    <w:name w:val="Grid Table 6 Colorful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98">
    <w:name w:val="Grid Table 6 Colorful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99">
    <w:name w:val="Grid Table 7 Colorful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7 Colorful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Grid Table 7 Colorful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Grid Table 7 Colorful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Grid Table 7 Colorful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7 Colorful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7 Colorful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1 Light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1 Light - Accent 1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List Table 1 Light - Accent 2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List Table 1 Light - Accent 3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 - Accent 4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1 Light - Accent 5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 - Accent 6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14">
    <w:name w:val="List Table 2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15">
    <w:name w:val="List Table 2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16">
    <w:name w:val="List Table 2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17">
    <w:name w:val="List Table 2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18">
    <w:name w:val="List Table 2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19">
    <w:name w:val="List Table 2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20">
    <w:name w:val="List Table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1">
    <w:name w:val="List Table 3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>
    <w:name w:val="List Table 3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3">
    <w:name w:val="List Table 3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4">
    <w:name w:val="List Table 3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5">
    <w:name w:val="List Table 3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6">
    <w:name w:val="List Table 3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7">
    <w:name w:val="List Table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8">
    <w:name w:val="List Table 4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9">
    <w:name w:val="List Table 4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0">
    <w:name w:val="List Table 4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>
    <w:name w:val="List Table 4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>
    <w:name w:val="List Table 4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>
    <w:name w:val="List Table 4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>
    <w:name w:val="List Table 5 Dark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5">
    <w:name w:val="List Table 5 Dark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6">
    <w:name w:val="List Table 5 Dark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7">
    <w:name w:val="List Table 5 Dark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8">
    <w:name w:val="List Table 5 Dark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39">
    <w:name w:val="List Table 5 Dark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0">
    <w:name w:val="List Table 5 Dark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941">
    <w:name w:val="List Table 6 Colorful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42">
    <w:name w:val="List Table 6 Colorful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43">
    <w:name w:val="List Table 6 Colorful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44">
    <w:name w:val="List Table 6 Colorful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45">
    <w:name w:val="List Table 6 Colorful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46">
    <w:name w:val="List Table 6 Colorful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47">
    <w:name w:val="List Table 6 Colorful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48">
    <w:name w:val="List Table 7 Colorful"/>
    <w:basedOn w:val="9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49">
    <w:name w:val="List Table 7 Colorful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50">
    <w:name w:val="List Table 7 Colorful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51">
    <w:name w:val="List Table 7 Colorful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52">
    <w:name w:val="List Table 7 Colorful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53">
    <w:name w:val="List Table 7 Colorful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54">
    <w:name w:val="List Table 7 Colorful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55">
    <w:name w:val="Lined - Accent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56">
    <w:name w:val="Lined - Accent 1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57">
    <w:name w:val="Lined - Accent 2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58">
    <w:name w:val="Lined - Accent 3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59">
    <w:name w:val="Lined - Accent 4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60">
    <w:name w:val="Lined - Accent 5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61">
    <w:name w:val="Lined - Accent 6"/>
    <w:basedOn w:val="97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62">
    <w:name w:val="Bordered &amp; Lined - Accent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963">
    <w:name w:val="Bordered &amp; Lined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964">
    <w:name w:val="Bordered &amp; Lined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965">
    <w:name w:val="Bordered &amp; Lined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966">
    <w:name w:val="Bordered &amp; Lined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967">
    <w:name w:val="Bordered &amp; Lined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968">
    <w:name w:val="Bordered &amp; Lined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969">
    <w:name w:val="Bordered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70">
    <w:name w:val="Bordered - Accent 1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71">
    <w:name w:val="Bordered - Accent 2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72">
    <w:name w:val="Bordered - Accent 3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73">
    <w:name w:val="Bordered - Accent 4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74">
    <w:name w:val="Bordered - Accent 5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75">
    <w:name w:val="Bordered - Accent 6"/>
    <w:basedOn w:val="97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76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977" w:customStyle="1">
    <w:name w:val="Body Text Indent"/>
    <w:basedOn w:val="821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78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ndale Sans UI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hyperlink" Target="mailto:22press_rosreestr@mail.ru" TargetMode="External"/><Relationship Id="rId15" Type="http://schemas.openxmlformats.org/officeDocument/2006/relationships/hyperlink" Target="http://www.rosreestr.gov.ru/" TargetMode="External"/><Relationship Id="rId16" Type="http://schemas.openxmlformats.org/officeDocument/2006/relationships/hyperlink" Target="https://dzen.ru/id/6392ad9bbc8b8d2fd42961a7" TargetMode="External"/><Relationship Id="rId17" Type="http://schemas.openxmlformats.org/officeDocument/2006/relationships/hyperlink" Target="https://vk.com/rosreestr_altaiskii_krai" TargetMode="External"/><Relationship Id="rId18" Type="http://schemas.openxmlformats.org/officeDocument/2006/relationships/hyperlink" Target="https://ok.ru/rosreestr22alt.kra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</dc:creator>
  <dc:description/>
  <dc:language>ru-RU</dc:language>
  <cp:revision>27</cp:revision>
  <dcterms:created xsi:type="dcterms:W3CDTF">2020-05-19T08:12:00Z</dcterms:created>
  <dcterms:modified xsi:type="dcterms:W3CDTF">2026-06-29T05:59:00Z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