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45"/>
      </w:pPr>
      <w:r>
        <w:rPr>
          <w:rFonts w:eastAsia="Times New Roman"/>
          <w:spacing w:val="-6"/>
          <w:sz w:val="30"/>
          <w:szCs w:val="30"/>
        </w:rPr>
      </w:r>
      <w:r>
        <w:rPr>
          <w:rFonts w:eastAsia="Calibri"/>
          <w:b/>
          <w:bCs/>
          <w:szCs w:val="28"/>
        </w:rPr>
        <w:t xml:space="preserve">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700886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eastAsia="Calibri"/>
          <w:b/>
          <w:bCs/>
          <w:szCs w:val="28"/>
        </w:rPr>
        <w:t xml:space="preserve">                                                                      </w:t>
      </w:r>
      <w:r/>
      <w:r/>
    </w:p>
    <w:p>
      <w:pPr>
        <w:pStyle w:val="1_645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pStyle w:val="1_645"/>
        <w:jc w:val="right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32"/>
          <w:szCs w:val="32"/>
          <w:highlight w:val="none"/>
        </w:rPr>
        <w:t xml:space="preserve">22.09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jc w:val="left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Управления</w:t>
      </w:r>
      <w:r/>
      <w:r>
        <w:rPr>
          <w:rFonts w:ascii="Times New Roman" w:hAnsi="Times New Roman" w:cs="Times New Roman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Важные изменения в законодательстве о банкротстве: на что нужно обратить внимание арбитражным управляющим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 11 августа 2025 года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вступили в силу изменения в Федеральный закон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26.10.2002 № 127-ФЗ «О несостоятельности (банкротстве)»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в том числе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касаемо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порядка работы арбитражных управляющих и их обязанностей при взаимодействии с Единым федеральным реестром сведений о банкротстве. 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Согласно изменениям, не позднее чем в течение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десяти дней с даты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вынесения судебного акта о завершении процедуры, применявшейся в деле о банкротстве, арб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итражный управляющий включает в ЕФРСБ сообщение о результатах соответствующей процедуры (отчет).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анее в законодательстве существовала правовая неопределенность относительно момента отсчета этого десятидневного срока. Внесенные правки окончательно устраняют разночтения, привязывая обязанность управляющего к конкретному судебному акту, а не к общей дате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завершения процедуры, что делает процесс более четким и контролируемым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Помимо уточнения сроков, на финансовых управляющих возлагаются и новые обязанности по наполнению реестра.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Согласно поправкам, в предоставляемых сведениях необходимо в обязательном порядке указывать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– о предъявлении кредитором своих требований к должнику, а также о включении заявленных требований в реестр требований кредиторов;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– о подаче в арбитражный суд заявления о признании сделки недействительной по основаниям, указанным в настоящем Федеральном законе, о вынесении судебного акта по результатам рассмотрения заявления и судебных актов о его пересмотре.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Указанные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меры направлены на обеспечение максимальной открытости каждого этапа процедуры банкротства, что позволит всем участникам процесса оперативно получать актуальную и полную информацию о ходе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процедуры банкротства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3450" cy="52534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68212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5253449" cy="5253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13.66pt;height:413.6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1_64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5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64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0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1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2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3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5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4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Calibri"/>
          <w:color w:val="0000ff"/>
          <w:sz w:val="20"/>
          <w:u w:val="single"/>
          <w:shd w:val="clear" w:color="auto" w:fill="ffffff"/>
        </w:rPr>
        <w:t xml:space="preserve">https://vk.com/video-46688657_45623910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  <w:r>
        <w:rPr>
          <w:rFonts w:ascii="Times New Roman" w:hAnsi="Times New Roman" w:cs="Times New Roman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ndale Sans UI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1_645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yperlink" Target="mailto:22press_rosreestr@mail.ru" TargetMode="External"/><Relationship Id="rId11" Type="http://schemas.openxmlformats.org/officeDocument/2006/relationships/hyperlink" Target="http://www.rosreestr.gov.ru/" TargetMode="External"/><Relationship Id="rId12" Type="http://schemas.openxmlformats.org/officeDocument/2006/relationships/hyperlink" Target="https://dzen.ru/id/6392ad9bbc8b8d2fd42961a7" TargetMode="External"/><Relationship Id="rId13" Type="http://schemas.openxmlformats.org/officeDocument/2006/relationships/hyperlink" Target="https://vk.com/rosreestr_altaiskii_krai" TargetMode="External"/><Relationship Id="rId14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2025-09-22T09:55:07Z</dcterms:modified>
</cp:coreProperties>
</file>